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90bis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9236C3">
        <w:rPr>
          <w:rFonts w:ascii="Arial" w:eastAsia="SimSun" w:hAnsi="Arial" w:cs="Times New Roman" w:hint="eastAsia"/>
          <w:b/>
          <w:bCs/>
          <w:sz w:val="24"/>
          <w:szCs w:val="20"/>
          <w:lang w:val="en-GB" w:eastAsia="ja-JP"/>
        </w:rPr>
        <w:t>R</w:t>
      </w:r>
      <w:r w:rsidRPr="009236C3">
        <w:rPr>
          <w:rFonts w:ascii="Arial" w:eastAsia="SimSun" w:hAnsi="Arial" w:cs="Times New Roman"/>
          <w:b/>
          <w:bCs/>
          <w:sz w:val="24"/>
          <w:szCs w:val="20"/>
          <w:lang w:val="en-GB" w:eastAsia="ja-JP"/>
        </w:rPr>
        <w:t>4</w:t>
      </w:r>
      <w:r w:rsidRPr="009236C3">
        <w:rPr>
          <w:rFonts w:ascii="Arial" w:eastAsia="SimSun" w:hAnsi="Arial" w:cs="Times New Roman" w:hint="eastAsia"/>
          <w:b/>
          <w:bCs/>
          <w:sz w:val="24"/>
          <w:szCs w:val="20"/>
          <w:lang w:val="en-GB" w:eastAsia="ja-JP"/>
        </w:rPr>
        <w:t>-</w:t>
      </w:r>
      <w:r w:rsidR="00683220" w:rsidRPr="009236C3">
        <w:rPr>
          <w:rFonts w:ascii="Arial" w:eastAsia="SimSun" w:hAnsi="Arial" w:cs="Times New Roman"/>
          <w:b/>
          <w:bCs/>
          <w:sz w:val="24"/>
          <w:szCs w:val="20"/>
          <w:lang w:val="en-GB" w:eastAsia="zh-CN"/>
        </w:rPr>
        <w:t>1</w:t>
      </w:r>
      <w:r w:rsidR="00DD555A" w:rsidRPr="009236C3">
        <w:rPr>
          <w:rFonts w:ascii="Arial" w:eastAsia="SimSun" w:hAnsi="Arial" w:cs="Times New Roman"/>
          <w:b/>
          <w:bCs/>
          <w:sz w:val="24"/>
          <w:szCs w:val="20"/>
          <w:lang w:val="en-GB" w:eastAsia="zh-CN"/>
        </w:rPr>
        <w:t>9</w:t>
      </w:r>
      <w:r w:rsidR="00F231E7" w:rsidRPr="009236C3">
        <w:rPr>
          <w:rFonts w:ascii="Arial" w:eastAsia="SimSun" w:hAnsi="Arial" w:cs="Times New Roman"/>
          <w:b/>
          <w:bCs/>
          <w:sz w:val="24"/>
          <w:szCs w:val="20"/>
          <w:lang w:val="en-GB" w:eastAsia="zh-CN"/>
        </w:rPr>
        <w:t>0</w:t>
      </w:r>
      <w:r w:rsidR="009236C3" w:rsidRPr="009236C3">
        <w:rPr>
          <w:rFonts w:ascii="Arial" w:eastAsia="SimSun" w:hAnsi="Arial" w:cs="Times New Roman"/>
          <w:b/>
          <w:bCs/>
          <w:sz w:val="24"/>
          <w:szCs w:val="20"/>
          <w:lang w:val="en-GB" w:eastAsia="zh-CN"/>
        </w:rPr>
        <w:t>4101</w:t>
      </w:r>
    </w:p>
    <w:p w:rsidR="00841BCD" w:rsidRPr="00841BCD" w:rsidRDefault="00DD55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BA724E">
        <w:rPr>
          <w:rFonts w:ascii="Arial" w:eastAsia="SimSun" w:hAnsi="Arial" w:cs="Times New Roman"/>
          <w:b/>
          <w:sz w:val="24"/>
          <w:szCs w:val="20"/>
          <w:lang w:val="en-GB"/>
        </w:rPr>
        <w:t>2</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231E7">
        <w:rPr>
          <w:rFonts w:ascii="Arial" w:eastAsia="Calibri" w:hAnsi="Arial" w:cs="Arial"/>
          <w:b/>
          <w:bCs/>
          <w:sz w:val="24"/>
          <w:lang w:val="en-GB"/>
        </w:rPr>
        <w:t xml:space="preserve">Demodulation performance for NPRACH FDD preamble format 2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36AB4" w:rsidRPr="00F36AB4">
        <w:rPr>
          <w:rFonts w:ascii="Arial" w:eastAsia="MS Mincho" w:hAnsi="Arial" w:cs="Arial"/>
          <w:b/>
          <w:bCs/>
          <w:sz w:val="24"/>
          <w:szCs w:val="20"/>
          <w:lang w:val="en-GB"/>
        </w:rPr>
        <w:t>5.3.</w:t>
      </w:r>
      <w:r w:rsidR="0012020C">
        <w:rPr>
          <w:rFonts w:ascii="Arial" w:eastAsia="MS Mincho" w:hAnsi="Arial" w:cs="Arial"/>
          <w:b/>
          <w:bCs/>
          <w:sz w:val="24"/>
          <w:szCs w:val="20"/>
          <w:lang w:val="en-GB"/>
        </w:rPr>
        <w:t>3</w:t>
      </w:r>
      <w:bookmarkStart w:id="3" w:name="_GoBack"/>
      <w:bookmarkEnd w:id="3"/>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F231E7" w:rsidRPr="00F231E7">
        <w:rPr>
          <w:rFonts w:ascii="Arial" w:eastAsia="Calibri" w:hAnsi="Arial" w:cs="Arial"/>
          <w:b/>
          <w:bCs/>
          <w:sz w:val="24"/>
          <w:lang w:val="en-GB"/>
        </w:rPr>
        <w:t>Agreement</w:t>
      </w:r>
    </w:p>
    <w:p w:rsidR="00841BCD" w:rsidRPr="00841BCD" w:rsidRDefault="00841BCD" w:rsidP="00A37002">
      <w:pPr>
        <w:pStyle w:val="RAN4H1"/>
      </w:pPr>
      <w:r w:rsidRPr="00AE56B1">
        <w:t>Intro</w:t>
      </w:r>
      <w:r w:rsidRPr="00AE56B1">
        <w:rPr>
          <w:rStyle w:val="RAN4H1Char"/>
        </w:rPr>
        <w:t>ductio</w:t>
      </w:r>
      <w:r w:rsidRPr="00AE56B1">
        <w:t>n</w:t>
      </w:r>
    </w:p>
    <w:p w:rsidR="00A22B78" w:rsidRDefault="00F231E7" w:rsidP="00841BCD">
      <w:pPr>
        <w:ind w:right="-22"/>
        <w:rPr>
          <w:rFonts w:eastAsia="Calibri" w:cs="Times New Roman"/>
          <w:szCs w:val="20"/>
          <w:lang w:val="en-GB"/>
        </w:rPr>
      </w:pPr>
      <w:r>
        <w:rPr>
          <w:rFonts w:eastAsia="Calibri" w:cs="Times New Roman"/>
          <w:szCs w:val="20"/>
          <w:lang w:val="en-GB"/>
        </w:rPr>
        <w:t xml:space="preserve">Preliminary </w:t>
      </w:r>
      <w:r w:rsidRPr="00355D13">
        <w:t>missed detection requirements</w:t>
      </w:r>
      <w:r>
        <w:rPr>
          <w:rFonts w:eastAsia="Calibri" w:cs="Times New Roman"/>
          <w:szCs w:val="20"/>
          <w:lang w:val="en-GB"/>
        </w:rPr>
        <w:t xml:space="preserve"> for NPRACH FDD preamble format 2 were agreed at RAN4 #90 in [1]. </w:t>
      </w:r>
    </w:p>
    <w:p w:rsidR="006F28AC" w:rsidRDefault="00F231E7" w:rsidP="00841BCD">
      <w:pPr>
        <w:ind w:right="-22"/>
        <w:rPr>
          <w:rFonts w:eastAsia="Calibri" w:cs="Times New Roman"/>
          <w:szCs w:val="20"/>
          <w:lang w:val="en-GB"/>
        </w:rPr>
      </w:pPr>
      <w:r>
        <w:rPr>
          <w:rFonts w:eastAsia="Calibri" w:cs="Times New Roman"/>
          <w:szCs w:val="20"/>
          <w:lang w:val="en-GB"/>
        </w:rPr>
        <w:t>This contribution lists the proposals for performance requirements from the sourcing companies</w:t>
      </w:r>
      <w:r w:rsidR="006F28AC">
        <w:rPr>
          <w:rFonts w:eastAsia="Calibri" w:cs="Times New Roman"/>
          <w:szCs w:val="20"/>
          <w:lang w:val="en-GB"/>
        </w:rPr>
        <w:t xml:space="preserve"> based on simulation results and provides a reasoning for the deviation from the preliminary requirements.</w:t>
      </w:r>
    </w:p>
    <w:p w:rsidR="002C2D19" w:rsidRDefault="006F28AC" w:rsidP="006F28AC">
      <w:pPr>
        <w:pStyle w:val="RAN4H1"/>
      </w:pPr>
      <w:r>
        <w:t xml:space="preserve">Simulation results </w:t>
      </w:r>
    </w:p>
    <w:p w:rsidR="006F28AC" w:rsidRDefault="006F28AC" w:rsidP="006F28AC">
      <w:pPr>
        <w:rPr>
          <w:lang w:val="en-GB"/>
        </w:rPr>
      </w:pPr>
      <w:r>
        <w:rPr>
          <w:lang w:val="en-GB"/>
        </w:rPr>
        <w:t xml:space="preserve">Simulations were carried out for NPRACH FDD preamble format 2 as specified in 3GPP TS 36.211. The results including impairments are shown in Table </w:t>
      </w:r>
      <w:r w:rsidR="00062CF3">
        <w:rPr>
          <w:lang w:val="en-GB"/>
        </w:rPr>
        <w:t>1.</w:t>
      </w:r>
    </w:p>
    <w:p w:rsidR="006F28AC" w:rsidRDefault="006F28AC" w:rsidP="006F28AC">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Simulation results for </w:t>
      </w:r>
      <w:r w:rsidRPr="00355D13">
        <w:t>missed detection</w:t>
      </w:r>
      <w:r>
        <w:rPr>
          <w:rFonts w:eastAsia="Calibri" w:cs="Times New Roman"/>
          <w:szCs w:val="20"/>
          <w:lang w:val="en-GB"/>
        </w:rPr>
        <w:t xml:space="preserve"> for NPRACH FDD preamble format 2</w:t>
      </w:r>
    </w:p>
    <w:tbl>
      <w:tblPr>
        <w:tblW w:w="9081" w:type="dxa"/>
        <w:tblCellMar>
          <w:left w:w="0" w:type="dxa"/>
          <w:right w:w="0" w:type="dxa"/>
        </w:tblCellMar>
        <w:tblLook w:val="0600" w:firstRow="0" w:lastRow="0" w:firstColumn="0" w:lastColumn="0" w:noHBand="1" w:noVBand="1"/>
      </w:tblPr>
      <w:tblGrid>
        <w:gridCol w:w="1512"/>
        <w:gridCol w:w="1512"/>
        <w:gridCol w:w="1515"/>
        <w:gridCol w:w="1519"/>
        <w:gridCol w:w="1515"/>
        <w:gridCol w:w="1508"/>
      </w:tblGrid>
      <w:tr w:rsidR="006F28AC" w:rsidRPr="0078558C" w:rsidTr="00B3283F">
        <w:trPr>
          <w:trHeight w:val="531"/>
        </w:trPr>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Number of TX antennas</w:t>
            </w:r>
          </w:p>
        </w:tc>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Number of RX antennas</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Repetition number</w:t>
            </w:r>
          </w:p>
        </w:tc>
        <w:tc>
          <w:tcPr>
            <w:tcW w:w="15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Propagation conditions and correlation matrix (Annex B)</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B3283F">
            <w:pPr>
              <w:pStyle w:val="TAH"/>
            </w:pPr>
            <w:r w:rsidRPr="0078558C">
              <w:t>Frequency offset</w:t>
            </w:r>
          </w:p>
        </w:tc>
        <w:tc>
          <w:tcPr>
            <w:tcW w:w="1508" w:type="dxa"/>
            <w:tcBorders>
              <w:top w:val="single" w:sz="8" w:space="0" w:color="000000"/>
              <w:left w:val="single" w:sz="8" w:space="0" w:color="000000"/>
              <w:bottom w:val="single" w:sz="8" w:space="0" w:color="000000"/>
              <w:right w:val="single" w:sz="8" w:space="0" w:color="000000"/>
            </w:tcBorders>
          </w:tcPr>
          <w:p w:rsidR="006F28AC" w:rsidRPr="0078558C" w:rsidRDefault="006F28AC" w:rsidP="00B3283F">
            <w:pPr>
              <w:pStyle w:val="TAH"/>
            </w:pPr>
            <w:r>
              <w:t>SNR [dB]</w:t>
            </w:r>
          </w:p>
        </w:tc>
      </w:tr>
      <w:tr w:rsidR="006F28AC" w:rsidRPr="0078558C" w:rsidTr="00B3283F">
        <w:trPr>
          <w:trHeight w:val="269"/>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19"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B3283F">
            <w:pPr>
              <w:pStyle w:val="TAH"/>
            </w:pPr>
          </w:p>
        </w:tc>
        <w:tc>
          <w:tcPr>
            <w:tcW w:w="1508" w:type="dxa"/>
            <w:tcBorders>
              <w:top w:val="single" w:sz="8" w:space="0" w:color="000000"/>
              <w:left w:val="single" w:sz="8" w:space="0" w:color="000000"/>
              <w:bottom w:val="single" w:sz="8" w:space="0" w:color="000000"/>
              <w:right w:val="single" w:sz="8" w:space="0" w:color="000000"/>
            </w:tcBorders>
          </w:tcPr>
          <w:p w:rsidR="006F28AC" w:rsidRPr="0078558C" w:rsidRDefault="005D4F5B" w:rsidP="00B3283F">
            <w:pPr>
              <w:pStyle w:val="TAH"/>
            </w:pPr>
            <w:r>
              <w:t>FDD p</w:t>
            </w:r>
            <w:r w:rsidR="006F28AC">
              <w:t>reamble format 2</w:t>
            </w:r>
          </w:p>
        </w:tc>
      </w:tr>
      <w:tr w:rsidR="006F28AC" w:rsidRPr="0078558C" w:rsidTr="00D358A6">
        <w:trPr>
          <w:trHeight w:val="100"/>
        </w:trPr>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1</w:t>
            </w:r>
          </w:p>
        </w:tc>
        <w:tc>
          <w:tcPr>
            <w:tcW w:w="15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2</w:t>
            </w: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8</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AWGN</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0</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6F28AC" w:rsidRPr="00D358A6" w:rsidRDefault="006F28AC" w:rsidP="006F28AC">
            <w:pPr>
              <w:pStyle w:val="TAC"/>
            </w:pPr>
            <w:r w:rsidRPr="00D358A6">
              <w:t>-</w:t>
            </w:r>
            <w:r w:rsidR="00D358A6" w:rsidRPr="00D358A6">
              <w:t>0.6</w:t>
            </w:r>
          </w:p>
        </w:tc>
      </w:tr>
      <w:tr w:rsidR="006F28AC" w:rsidRPr="0078558C" w:rsidTr="00D358A6">
        <w:trPr>
          <w:trHeight w:val="73"/>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EPA1 Low</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200 Hz</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6F28AC" w:rsidRPr="00D358A6" w:rsidRDefault="00D358A6" w:rsidP="006F28AC">
            <w:pPr>
              <w:pStyle w:val="TAC"/>
            </w:pPr>
            <w:r w:rsidRPr="00D358A6">
              <w:t>9</w:t>
            </w:r>
            <w:r w:rsidR="006F28AC" w:rsidRPr="00D358A6">
              <w:t>.4</w:t>
            </w:r>
          </w:p>
        </w:tc>
      </w:tr>
      <w:tr w:rsidR="006F28AC" w:rsidRPr="0078558C" w:rsidTr="00D358A6">
        <w:trPr>
          <w:trHeight w:val="145"/>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32</w:t>
            </w: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AWGN</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0</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6F28AC" w:rsidRPr="00D358A6" w:rsidRDefault="006F28AC" w:rsidP="006F28AC">
            <w:pPr>
              <w:pStyle w:val="TAC"/>
              <w:rPr>
                <w:color w:val="000000" w:themeColor="text1"/>
              </w:rPr>
            </w:pPr>
            <w:r w:rsidRPr="00D358A6">
              <w:rPr>
                <w:color w:val="000000" w:themeColor="text1"/>
              </w:rPr>
              <w:t>-</w:t>
            </w:r>
            <w:r w:rsidR="00D358A6" w:rsidRPr="00D358A6">
              <w:rPr>
                <w:color w:val="000000" w:themeColor="text1"/>
              </w:rPr>
              <w:t>4.7</w:t>
            </w:r>
          </w:p>
        </w:tc>
      </w:tr>
      <w:tr w:rsidR="006F28AC" w:rsidRPr="0078558C" w:rsidTr="00D358A6">
        <w:trPr>
          <w:trHeight w:val="45"/>
        </w:trPr>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2"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5" w:type="dxa"/>
            <w:vMerge/>
            <w:tcBorders>
              <w:top w:val="single" w:sz="8" w:space="0" w:color="000000"/>
              <w:left w:val="single" w:sz="8" w:space="0" w:color="000000"/>
              <w:bottom w:val="single" w:sz="8" w:space="0" w:color="000000"/>
              <w:right w:val="single" w:sz="8" w:space="0" w:color="000000"/>
            </w:tcBorders>
            <w:vAlign w:val="center"/>
            <w:hideMark/>
          </w:tcPr>
          <w:p w:rsidR="006F28AC" w:rsidRPr="0078558C" w:rsidRDefault="006F28AC" w:rsidP="006F28AC">
            <w:pPr>
              <w:pStyle w:val="TAC"/>
            </w:pPr>
          </w:p>
        </w:tc>
        <w:tc>
          <w:tcPr>
            <w:tcW w:w="151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EPA1 Low</w:t>
            </w:r>
          </w:p>
        </w:tc>
        <w:tc>
          <w:tcPr>
            <w:tcW w:w="1515"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6F28AC" w:rsidRPr="0078558C" w:rsidRDefault="006F28AC" w:rsidP="006F28AC">
            <w:pPr>
              <w:pStyle w:val="TAC"/>
            </w:pPr>
            <w:r w:rsidRPr="0078558C">
              <w:t>200 Hz</w:t>
            </w:r>
          </w:p>
        </w:tc>
        <w:tc>
          <w:tcPr>
            <w:tcW w:w="1508" w:type="dxa"/>
            <w:tcBorders>
              <w:top w:val="single" w:sz="8" w:space="0" w:color="000000"/>
              <w:left w:val="single" w:sz="8" w:space="0" w:color="000000"/>
              <w:bottom w:val="single" w:sz="8" w:space="0" w:color="000000"/>
              <w:right w:val="single" w:sz="8" w:space="0" w:color="000000"/>
            </w:tcBorders>
            <w:shd w:val="clear" w:color="auto" w:fill="auto"/>
          </w:tcPr>
          <w:p w:rsidR="006F28AC" w:rsidRPr="00D358A6" w:rsidRDefault="00D358A6" w:rsidP="006F28AC">
            <w:pPr>
              <w:pStyle w:val="TAC"/>
              <w:rPr>
                <w:color w:val="000000" w:themeColor="text1"/>
              </w:rPr>
            </w:pPr>
            <w:r w:rsidRPr="00D358A6">
              <w:rPr>
                <w:color w:val="000000" w:themeColor="text1"/>
              </w:rPr>
              <w:t>3</w:t>
            </w:r>
            <w:r w:rsidR="006F28AC" w:rsidRPr="00D358A6">
              <w:rPr>
                <w:color w:val="000000" w:themeColor="text1"/>
              </w:rPr>
              <w:t>.</w:t>
            </w:r>
            <w:r w:rsidRPr="00D358A6">
              <w:rPr>
                <w:color w:val="000000" w:themeColor="text1"/>
              </w:rPr>
              <w:t>0</w:t>
            </w:r>
          </w:p>
        </w:tc>
      </w:tr>
    </w:tbl>
    <w:p w:rsidR="006F28AC" w:rsidRDefault="006F28AC" w:rsidP="006F28AC">
      <w:pPr>
        <w:rPr>
          <w:lang w:eastAsia="zh-CN"/>
        </w:rPr>
      </w:pPr>
    </w:p>
    <w:p w:rsidR="00D358A6" w:rsidRDefault="00D358A6" w:rsidP="00D358A6">
      <w:pPr>
        <w:pStyle w:val="RAN4H1"/>
      </w:pPr>
      <w:r>
        <w:t>Discussion</w:t>
      </w:r>
    </w:p>
    <w:p w:rsidR="005D4B8B" w:rsidRDefault="005D4B8B" w:rsidP="005D4B8B">
      <w:pPr>
        <w:pStyle w:val="RAN4H2"/>
        <w:rPr>
          <w:lang w:eastAsia="zh-CN"/>
        </w:rPr>
      </w:pPr>
      <w:r>
        <w:rPr>
          <w:lang w:eastAsia="zh-CN"/>
        </w:rPr>
        <w:t>Performance Comparison</w:t>
      </w:r>
    </w:p>
    <w:p w:rsidR="00D358A6" w:rsidRDefault="00062CF3" w:rsidP="006F28AC">
      <w:pPr>
        <w:rPr>
          <w:lang w:eastAsia="zh-CN"/>
        </w:rPr>
      </w:pPr>
      <w:r>
        <w:rPr>
          <w:lang w:eastAsia="zh-CN"/>
        </w:rPr>
        <w:t>The above results are compared to preliminary performance requirements in 3</w:t>
      </w:r>
      <w:r w:rsidR="004E006D">
        <w:rPr>
          <w:lang w:eastAsia="zh-CN"/>
        </w:rPr>
        <w:t xml:space="preserve">6.104 shown in </w:t>
      </w:r>
      <w:r>
        <w:rPr>
          <w:lang w:eastAsia="zh-CN"/>
        </w:rPr>
        <w:t xml:space="preserve">Table 2.  </w:t>
      </w:r>
    </w:p>
    <w:p w:rsidR="00062CF3" w:rsidRDefault="00062CF3" w:rsidP="00062CF3">
      <w:pPr>
        <w:pStyle w:val="Caption"/>
        <w:keepNext/>
      </w:pPr>
      <w:r>
        <w:t xml:space="preserve">Table </w:t>
      </w:r>
      <w:r>
        <w:rPr>
          <w:noProof/>
        </w:rPr>
        <w:t>2</w:t>
      </w:r>
      <w:r>
        <w:t>: Comparison</w:t>
      </w:r>
      <w:r>
        <w:rPr>
          <w:rFonts w:eastAsia="Calibri" w:cs="Times New Roman"/>
          <w:szCs w:val="20"/>
          <w:lang w:val="en-GB"/>
        </w:rPr>
        <w:t xml:space="preserve"> to preliminary requirement for NPRACH FDD preamble format 2</w:t>
      </w:r>
    </w:p>
    <w:tbl>
      <w:tblPr>
        <w:tblW w:w="9062" w:type="dxa"/>
        <w:tblCellMar>
          <w:left w:w="0" w:type="dxa"/>
          <w:right w:w="0" w:type="dxa"/>
        </w:tblCellMar>
        <w:tblLook w:val="0600" w:firstRow="0" w:lastRow="0" w:firstColumn="0" w:lastColumn="0" w:noHBand="1" w:noVBand="1"/>
      </w:tblPr>
      <w:tblGrid>
        <w:gridCol w:w="1137"/>
        <w:gridCol w:w="1222"/>
        <w:gridCol w:w="1181"/>
        <w:gridCol w:w="1416"/>
        <w:gridCol w:w="1089"/>
        <w:gridCol w:w="1458"/>
        <w:gridCol w:w="1559"/>
      </w:tblGrid>
      <w:tr w:rsidR="00062CF3" w:rsidRPr="0078558C" w:rsidTr="00062CF3">
        <w:trPr>
          <w:trHeight w:val="531"/>
        </w:trPr>
        <w:tc>
          <w:tcPr>
            <w:tcW w:w="11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B3283F">
            <w:pPr>
              <w:pStyle w:val="TAH"/>
            </w:pPr>
            <w:r w:rsidRPr="0078558C">
              <w:t>Number of TX antennas</w:t>
            </w:r>
          </w:p>
        </w:tc>
        <w:tc>
          <w:tcPr>
            <w:tcW w:w="12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B3283F">
            <w:pPr>
              <w:pStyle w:val="TAH"/>
            </w:pPr>
            <w:r w:rsidRPr="0078558C">
              <w:t>Number of RX antennas</w:t>
            </w:r>
          </w:p>
        </w:tc>
        <w:tc>
          <w:tcPr>
            <w:tcW w:w="118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B3283F">
            <w:pPr>
              <w:pStyle w:val="TAH"/>
            </w:pPr>
            <w:r w:rsidRPr="0078558C">
              <w:t>Repetition number</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B3283F">
            <w:pPr>
              <w:pStyle w:val="TAH"/>
            </w:pPr>
            <w:r w:rsidRPr="0078558C">
              <w:t>Propagation conditions and correlation matrix (Annex B)</w:t>
            </w:r>
          </w:p>
        </w:tc>
        <w:tc>
          <w:tcPr>
            <w:tcW w:w="108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B3283F">
            <w:pPr>
              <w:pStyle w:val="TAH"/>
            </w:pPr>
            <w:r w:rsidRPr="0078558C">
              <w:t>Frequency offset</w:t>
            </w:r>
          </w:p>
        </w:tc>
        <w:tc>
          <w:tcPr>
            <w:tcW w:w="1458" w:type="dxa"/>
            <w:tcBorders>
              <w:top w:val="single" w:sz="8" w:space="0" w:color="000000"/>
              <w:left w:val="single" w:sz="8" w:space="0" w:color="000000"/>
              <w:bottom w:val="single" w:sz="8" w:space="0" w:color="000000"/>
              <w:right w:val="single" w:sz="8" w:space="0" w:color="000000"/>
            </w:tcBorders>
          </w:tcPr>
          <w:p w:rsidR="00062CF3" w:rsidRDefault="00062CF3" w:rsidP="00B3283F">
            <w:pPr>
              <w:pStyle w:val="TAH"/>
            </w:pPr>
            <w:r>
              <w:t>SNR [dB]</w:t>
            </w:r>
          </w:p>
          <w:p w:rsidR="00062CF3" w:rsidRPr="0078558C" w:rsidRDefault="00062CF3" w:rsidP="00B3283F">
            <w:pPr>
              <w:pStyle w:val="TAH"/>
            </w:pPr>
            <w:r>
              <w:t xml:space="preserve">Nokia proposal </w:t>
            </w:r>
          </w:p>
        </w:tc>
        <w:tc>
          <w:tcPr>
            <w:tcW w:w="1559" w:type="dxa"/>
            <w:tcBorders>
              <w:top w:val="single" w:sz="8" w:space="0" w:color="000000"/>
              <w:left w:val="single" w:sz="8" w:space="0" w:color="000000"/>
              <w:bottom w:val="single" w:sz="8" w:space="0" w:color="000000"/>
              <w:right w:val="single" w:sz="8" w:space="0" w:color="000000"/>
            </w:tcBorders>
          </w:tcPr>
          <w:p w:rsidR="00062CF3" w:rsidRDefault="00062CF3" w:rsidP="00B3283F">
            <w:pPr>
              <w:pStyle w:val="TAH"/>
            </w:pPr>
            <w:r>
              <w:t>SNR [dB] Preliminary requirement (36.104)</w:t>
            </w:r>
          </w:p>
        </w:tc>
      </w:tr>
      <w:tr w:rsidR="00062CF3" w:rsidRPr="0078558C" w:rsidTr="00062CF3">
        <w:trPr>
          <w:trHeight w:val="269"/>
        </w:trPr>
        <w:tc>
          <w:tcPr>
            <w:tcW w:w="1137"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H"/>
            </w:pPr>
          </w:p>
        </w:tc>
        <w:tc>
          <w:tcPr>
            <w:tcW w:w="1222"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H"/>
            </w:pPr>
          </w:p>
        </w:tc>
        <w:tc>
          <w:tcPr>
            <w:tcW w:w="1181"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H"/>
            </w:pP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H"/>
            </w:pPr>
          </w:p>
        </w:tc>
        <w:tc>
          <w:tcPr>
            <w:tcW w:w="1089"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H"/>
            </w:pPr>
          </w:p>
        </w:tc>
        <w:tc>
          <w:tcPr>
            <w:tcW w:w="1458" w:type="dxa"/>
            <w:tcBorders>
              <w:top w:val="single" w:sz="8" w:space="0" w:color="000000"/>
              <w:left w:val="single" w:sz="8" w:space="0" w:color="000000"/>
              <w:bottom w:val="single" w:sz="8" w:space="0" w:color="000000"/>
              <w:right w:val="single" w:sz="8" w:space="0" w:color="000000"/>
            </w:tcBorders>
          </w:tcPr>
          <w:p w:rsidR="00062CF3" w:rsidRPr="0078558C" w:rsidRDefault="005D4F5B" w:rsidP="00062CF3">
            <w:pPr>
              <w:pStyle w:val="TAH"/>
            </w:pPr>
            <w:r>
              <w:t>FDD p</w:t>
            </w:r>
            <w:r w:rsidR="00062CF3">
              <w:t>reamble format 2</w:t>
            </w:r>
          </w:p>
        </w:tc>
        <w:tc>
          <w:tcPr>
            <w:tcW w:w="1559" w:type="dxa"/>
            <w:tcBorders>
              <w:top w:val="single" w:sz="8" w:space="0" w:color="000000"/>
              <w:left w:val="single" w:sz="8" w:space="0" w:color="000000"/>
              <w:bottom w:val="single" w:sz="8" w:space="0" w:color="000000"/>
              <w:right w:val="single" w:sz="8" w:space="0" w:color="000000"/>
            </w:tcBorders>
          </w:tcPr>
          <w:p w:rsidR="00062CF3" w:rsidRPr="0078558C" w:rsidRDefault="005D4F5B" w:rsidP="00062CF3">
            <w:pPr>
              <w:pStyle w:val="TAH"/>
            </w:pPr>
            <w:r>
              <w:t>FDD p</w:t>
            </w:r>
            <w:r w:rsidR="00062CF3">
              <w:t>reamble format 2</w:t>
            </w:r>
          </w:p>
        </w:tc>
      </w:tr>
      <w:tr w:rsidR="00062CF3" w:rsidRPr="00D358A6" w:rsidTr="00062CF3">
        <w:trPr>
          <w:trHeight w:val="100"/>
        </w:trPr>
        <w:tc>
          <w:tcPr>
            <w:tcW w:w="11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1</w:t>
            </w:r>
          </w:p>
        </w:tc>
        <w:tc>
          <w:tcPr>
            <w:tcW w:w="12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2</w:t>
            </w:r>
          </w:p>
        </w:tc>
        <w:tc>
          <w:tcPr>
            <w:tcW w:w="118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8</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AWGN</w:t>
            </w:r>
          </w:p>
        </w:tc>
        <w:tc>
          <w:tcPr>
            <w:tcW w:w="108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0</w:t>
            </w:r>
          </w:p>
        </w:tc>
        <w:tc>
          <w:tcPr>
            <w:tcW w:w="1458" w:type="dxa"/>
            <w:tcBorders>
              <w:top w:val="single" w:sz="8" w:space="0" w:color="000000"/>
              <w:left w:val="single" w:sz="8" w:space="0" w:color="000000"/>
              <w:bottom w:val="single" w:sz="8" w:space="0" w:color="000000"/>
              <w:right w:val="single" w:sz="8" w:space="0" w:color="000000"/>
            </w:tcBorders>
            <w:shd w:val="clear" w:color="auto" w:fill="auto"/>
          </w:tcPr>
          <w:p w:rsidR="00062CF3" w:rsidRPr="00D358A6" w:rsidRDefault="00062CF3" w:rsidP="00062CF3">
            <w:pPr>
              <w:pStyle w:val="TAC"/>
            </w:pPr>
            <w:r w:rsidRPr="00D358A6">
              <w:t>-0.6</w:t>
            </w:r>
          </w:p>
        </w:tc>
        <w:tc>
          <w:tcPr>
            <w:tcW w:w="1559" w:type="dxa"/>
            <w:tcBorders>
              <w:top w:val="single" w:sz="8" w:space="0" w:color="000000"/>
              <w:left w:val="single" w:sz="8" w:space="0" w:color="000000"/>
              <w:bottom w:val="single" w:sz="8" w:space="0" w:color="000000"/>
              <w:right w:val="single" w:sz="8" w:space="0" w:color="000000"/>
            </w:tcBorders>
            <w:vAlign w:val="center"/>
          </w:tcPr>
          <w:p w:rsidR="00062CF3" w:rsidRPr="00285486" w:rsidRDefault="00062CF3" w:rsidP="00062CF3">
            <w:pPr>
              <w:pStyle w:val="TAC"/>
              <w:rPr>
                <w:rFonts w:cs="Arial"/>
                <w:szCs w:val="18"/>
                <w:lang w:eastAsia="zh-CN"/>
              </w:rPr>
            </w:pPr>
            <w:r w:rsidRPr="00285486">
              <w:rPr>
                <w:rFonts w:cs="Arial"/>
                <w:szCs w:val="18"/>
                <w:lang w:eastAsia="zh-CN"/>
              </w:rPr>
              <w:t>[-3.9]</w:t>
            </w:r>
          </w:p>
        </w:tc>
      </w:tr>
      <w:tr w:rsidR="00062CF3" w:rsidRPr="00D358A6" w:rsidTr="00062CF3">
        <w:trPr>
          <w:trHeight w:val="73"/>
        </w:trPr>
        <w:tc>
          <w:tcPr>
            <w:tcW w:w="1137"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C"/>
            </w:pPr>
          </w:p>
        </w:tc>
        <w:tc>
          <w:tcPr>
            <w:tcW w:w="1222"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C"/>
            </w:pPr>
          </w:p>
        </w:tc>
        <w:tc>
          <w:tcPr>
            <w:tcW w:w="1181"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C"/>
            </w:pP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EPA1 Low</w:t>
            </w:r>
          </w:p>
        </w:tc>
        <w:tc>
          <w:tcPr>
            <w:tcW w:w="108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200 Hz</w:t>
            </w:r>
          </w:p>
        </w:tc>
        <w:tc>
          <w:tcPr>
            <w:tcW w:w="1458" w:type="dxa"/>
            <w:tcBorders>
              <w:top w:val="single" w:sz="8" w:space="0" w:color="000000"/>
              <w:left w:val="single" w:sz="8" w:space="0" w:color="000000"/>
              <w:bottom w:val="single" w:sz="8" w:space="0" w:color="000000"/>
              <w:right w:val="single" w:sz="8" w:space="0" w:color="000000"/>
            </w:tcBorders>
            <w:shd w:val="clear" w:color="auto" w:fill="auto"/>
          </w:tcPr>
          <w:p w:rsidR="00062CF3" w:rsidRPr="00D358A6" w:rsidRDefault="00062CF3" w:rsidP="00062CF3">
            <w:pPr>
              <w:pStyle w:val="TAC"/>
            </w:pPr>
            <w:r w:rsidRPr="00D358A6">
              <w:t>9.4</w:t>
            </w:r>
          </w:p>
        </w:tc>
        <w:tc>
          <w:tcPr>
            <w:tcW w:w="1559" w:type="dxa"/>
            <w:tcBorders>
              <w:top w:val="single" w:sz="8" w:space="0" w:color="000000"/>
              <w:left w:val="single" w:sz="8" w:space="0" w:color="000000"/>
              <w:bottom w:val="single" w:sz="8" w:space="0" w:color="000000"/>
              <w:right w:val="single" w:sz="8" w:space="0" w:color="000000"/>
            </w:tcBorders>
            <w:vAlign w:val="center"/>
          </w:tcPr>
          <w:p w:rsidR="00062CF3" w:rsidRPr="00285486" w:rsidRDefault="00062CF3" w:rsidP="00062CF3">
            <w:pPr>
              <w:pStyle w:val="TAC"/>
              <w:rPr>
                <w:rFonts w:cs="Arial"/>
                <w:szCs w:val="18"/>
                <w:lang w:eastAsia="zh-CN"/>
              </w:rPr>
            </w:pPr>
            <w:r w:rsidRPr="00285486">
              <w:rPr>
                <w:rFonts w:cs="Arial"/>
                <w:szCs w:val="18"/>
                <w:lang w:eastAsia="zh-CN"/>
              </w:rPr>
              <w:t>[6.4]</w:t>
            </w:r>
          </w:p>
        </w:tc>
      </w:tr>
      <w:tr w:rsidR="00062CF3" w:rsidRPr="00D358A6" w:rsidTr="00062CF3">
        <w:trPr>
          <w:trHeight w:val="145"/>
        </w:trPr>
        <w:tc>
          <w:tcPr>
            <w:tcW w:w="1137"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C"/>
            </w:pPr>
          </w:p>
        </w:tc>
        <w:tc>
          <w:tcPr>
            <w:tcW w:w="1222"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C"/>
            </w:pPr>
          </w:p>
        </w:tc>
        <w:tc>
          <w:tcPr>
            <w:tcW w:w="118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32</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AWGN</w:t>
            </w:r>
          </w:p>
        </w:tc>
        <w:tc>
          <w:tcPr>
            <w:tcW w:w="108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0</w:t>
            </w:r>
          </w:p>
        </w:tc>
        <w:tc>
          <w:tcPr>
            <w:tcW w:w="1458" w:type="dxa"/>
            <w:tcBorders>
              <w:top w:val="single" w:sz="8" w:space="0" w:color="000000"/>
              <w:left w:val="single" w:sz="8" w:space="0" w:color="000000"/>
              <w:bottom w:val="single" w:sz="8" w:space="0" w:color="000000"/>
              <w:right w:val="single" w:sz="8" w:space="0" w:color="000000"/>
            </w:tcBorders>
            <w:shd w:val="clear" w:color="auto" w:fill="auto"/>
          </w:tcPr>
          <w:p w:rsidR="00062CF3" w:rsidRPr="00D358A6" w:rsidRDefault="00062CF3" w:rsidP="00062CF3">
            <w:pPr>
              <w:pStyle w:val="TAC"/>
              <w:rPr>
                <w:color w:val="000000" w:themeColor="text1"/>
              </w:rPr>
            </w:pPr>
            <w:r w:rsidRPr="00D358A6">
              <w:rPr>
                <w:color w:val="000000" w:themeColor="text1"/>
              </w:rPr>
              <w:t>-4.7</w:t>
            </w:r>
          </w:p>
        </w:tc>
        <w:tc>
          <w:tcPr>
            <w:tcW w:w="1559" w:type="dxa"/>
            <w:tcBorders>
              <w:top w:val="single" w:sz="8" w:space="0" w:color="000000"/>
              <w:left w:val="single" w:sz="8" w:space="0" w:color="000000"/>
              <w:bottom w:val="single" w:sz="8" w:space="0" w:color="000000"/>
              <w:right w:val="single" w:sz="8" w:space="0" w:color="000000"/>
            </w:tcBorders>
            <w:vAlign w:val="center"/>
          </w:tcPr>
          <w:p w:rsidR="00062CF3" w:rsidRPr="00285486" w:rsidRDefault="00062CF3" w:rsidP="00062CF3">
            <w:pPr>
              <w:pStyle w:val="TAC"/>
              <w:rPr>
                <w:rFonts w:cs="Arial"/>
                <w:szCs w:val="18"/>
                <w:lang w:eastAsia="zh-CN"/>
              </w:rPr>
            </w:pPr>
            <w:r w:rsidRPr="00285486">
              <w:rPr>
                <w:rFonts w:cs="Arial"/>
                <w:szCs w:val="18"/>
                <w:lang w:eastAsia="zh-CN"/>
              </w:rPr>
              <w:t>[-8.2]</w:t>
            </w:r>
          </w:p>
        </w:tc>
      </w:tr>
      <w:tr w:rsidR="00062CF3" w:rsidRPr="00D358A6" w:rsidTr="00062CF3">
        <w:trPr>
          <w:trHeight w:val="45"/>
        </w:trPr>
        <w:tc>
          <w:tcPr>
            <w:tcW w:w="1137"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C"/>
            </w:pPr>
          </w:p>
        </w:tc>
        <w:tc>
          <w:tcPr>
            <w:tcW w:w="1222"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C"/>
            </w:pPr>
          </w:p>
        </w:tc>
        <w:tc>
          <w:tcPr>
            <w:tcW w:w="1181" w:type="dxa"/>
            <w:vMerge/>
            <w:tcBorders>
              <w:top w:val="single" w:sz="8" w:space="0" w:color="000000"/>
              <w:left w:val="single" w:sz="8" w:space="0" w:color="000000"/>
              <w:bottom w:val="single" w:sz="8" w:space="0" w:color="000000"/>
              <w:right w:val="single" w:sz="8" w:space="0" w:color="000000"/>
            </w:tcBorders>
            <w:vAlign w:val="center"/>
            <w:hideMark/>
          </w:tcPr>
          <w:p w:rsidR="00062CF3" w:rsidRPr="0078558C" w:rsidRDefault="00062CF3" w:rsidP="00062CF3">
            <w:pPr>
              <w:pStyle w:val="TAC"/>
            </w:pP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EPA1 Low</w:t>
            </w:r>
          </w:p>
        </w:tc>
        <w:tc>
          <w:tcPr>
            <w:tcW w:w="108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062CF3" w:rsidRPr="0078558C" w:rsidRDefault="00062CF3" w:rsidP="00062CF3">
            <w:pPr>
              <w:pStyle w:val="TAC"/>
            </w:pPr>
            <w:r w:rsidRPr="0078558C">
              <w:t>200 Hz</w:t>
            </w:r>
          </w:p>
        </w:tc>
        <w:tc>
          <w:tcPr>
            <w:tcW w:w="1458" w:type="dxa"/>
            <w:tcBorders>
              <w:top w:val="single" w:sz="8" w:space="0" w:color="000000"/>
              <w:left w:val="single" w:sz="8" w:space="0" w:color="000000"/>
              <w:bottom w:val="single" w:sz="8" w:space="0" w:color="000000"/>
              <w:right w:val="single" w:sz="8" w:space="0" w:color="000000"/>
            </w:tcBorders>
            <w:shd w:val="clear" w:color="auto" w:fill="auto"/>
          </w:tcPr>
          <w:p w:rsidR="00062CF3" w:rsidRPr="00D358A6" w:rsidRDefault="00062CF3" w:rsidP="00062CF3">
            <w:pPr>
              <w:pStyle w:val="TAC"/>
              <w:rPr>
                <w:color w:val="000000" w:themeColor="text1"/>
              </w:rPr>
            </w:pPr>
            <w:r w:rsidRPr="00D358A6">
              <w:rPr>
                <w:color w:val="000000" w:themeColor="text1"/>
              </w:rPr>
              <w:t>3.0</w:t>
            </w:r>
          </w:p>
        </w:tc>
        <w:tc>
          <w:tcPr>
            <w:tcW w:w="1559" w:type="dxa"/>
            <w:tcBorders>
              <w:top w:val="single" w:sz="8" w:space="0" w:color="000000"/>
              <w:left w:val="single" w:sz="8" w:space="0" w:color="000000"/>
              <w:bottom w:val="single" w:sz="8" w:space="0" w:color="000000"/>
              <w:right w:val="single" w:sz="8" w:space="0" w:color="000000"/>
            </w:tcBorders>
            <w:vAlign w:val="center"/>
          </w:tcPr>
          <w:p w:rsidR="00062CF3" w:rsidRPr="00285486" w:rsidRDefault="00062CF3" w:rsidP="00062CF3">
            <w:pPr>
              <w:pStyle w:val="TAC"/>
              <w:rPr>
                <w:rFonts w:cs="Arial"/>
                <w:szCs w:val="18"/>
                <w:lang w:eastAsia="zh-CN"/>
              </w:rPr>
            </w:pPr>
            <w:r w:rsidRPr="00285486">
              <w:rPr>
                <w:rFonts w:cs="Arial"/>
                <w:szCs w:val="18"/>
                <w:lang w:eastAsia="zh-CN"/>
              </w:rPr>
              <w:t>[-0.3]</w:t>
            </w:r>
          </w:p>
        </w:tc>
      </w:tr>
    </w:tbl>
    <w:p w:rsidR="006F28AC" w:rsidRDefault="006F28AC" w:rsidP="006F28AC">
      <w:pPr>
        <w:rPr>
          <w:lang w:val="en-GB"/>
        </w:rPr>
      </w:pPr>
    </w:p>
    <w:p w:rsidR="004E006D" w:rsidRDefault="004E006D" w:rsidP="006F28AC">
      <w:pPr>
        <w:rPr>
          <w:lang w:val="en-GB"/>
        </w:rPr>
      </w:pPr>
      <w:r>
        <w:rPr>
          <w:lang w:val="en-GB"/>
        </w:rPr>
        <w:t>It is observed that there is a difference of 3 to 3.5 dB between our results and the preliminary re</w:t>
      </w:r>
      <w:r w:rsidR="00480EBB">
        <w:rPr>
          <w:lang w:val="en-GB"/>
        </w:rPr>
        <w:t>quirements</w:t>
      </w:r>
      <w:r>
        <w:rPr>
          <w:lang w:val="en-GB"/>
        </w:rPr>
        <w:t xml:space="preserve">. </w:t>
      </w:r>
    </w:p>
    <w:p w:rsidR="004E006D" w:rsidRDefault="004E006D" w:rsidP="006F28AC">
      <w:pPr>
        <w:rPr>
          <w:lang w:val="en-GB"/>
        </w:rPr>
      </w:pPr>
      <w:r>
        <w:rPr>
          <w:lang w:val="en-GB"/>
        </w:rPr>
        <w:lastRenderedPageBreak/>
        <w:t>For instance, comparing the performance for NPRACH FDD preamble format 2 against preamble format 0 for the AWGN channel, the delta SNR’s are depicted in Table 3.</w:t>
      </w:r>
    </w:p>
    <w:p w:rsidR="00480EBB" w:rsidRDefault="00480EBB" w:rsidP="00480EBB">
      <w:pPr>
        <w:pStyle w:val="Caption"/>
        <w:keepNext/>
      </w:pPr>
      <w:r>
        <w:t xml:space="preserve">Table </w:t>
      </w:r>
      <w:r>
        <w:rPr>
          <w:noProof/>
        </w:rPr>
        <w:t>3</w:t>
      </w:r>
      <w:r>
        <w:t>: Comparison</w:t>
      </w:r>
      <w:r>
        <w:rPr>
          <w:rFonts w:eastAsia="Calibri" w:cs="Times New Roman"/>
          <w:szCs w:val="20"/>
          <w:lang w:val="en-GB"/>
        </w:rPr>
        <w:t xml:space="preserve"> of performance between NPRACH FDD preamble format 0 and 2 (AWGN).</w:t>
      </w:r>
    </w:p>
    <w:tbl>
      <w:tblPr>
        <w:tblW w:w="9062" w:type="dxa"/>
        <w:tblCellMar>
          <w:left w:w="0" w:type="dxa"/>
          <w:right w:w="0" w:type="dxa"/>
        </w:tblCellMar>
        <w:tblLook w:val="0600" w:firstRow="0" w:lastRow="0" w:firstColumn="0" w:lastColumn="0" w:noHBand="1" w:noVBand="1"/>
      </w:tblPr>
      <w:tblGrid>
        <w:gridCol w:w="1090"/>
        <w:gridCol w:w="1152"/>
        <w:gridCol w:w="1147"/>
        <w:gridCol w:w="1364"/>
        <w:gridCol w:w="1089"/>
        <w:gridCol w:w="1060"/>
        <w:gridCol w:w="1026"/>
        <w:gridCol w:w="1134"/>
      </w:tblGrid>
      <w:tr w:rsidR="004E006D" w:rsidTr="005D4F5B">
        <w:trPr>
          <w:trHeight w:val="531"/>
        </w:trPr>
        <w:tc>
          <w:tcPr>
            <w:tcW w:w="10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B3283F">
            <w:pPr>
              <w:pStyle w:val="TAH"/>
            </w:pPr>
            <w:r w:rsidRPr="0078558C">
              <w:t>Number of TX antennas</w:t>
            </w:r>
          </w:p>
        </w:tc>
        <w:tc>
          <w:tcPr>
            <w:tcW w:w="11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B3283F">
            <w:pPr>
              <w:pStyle w:val="TAH"/>
            </w:pPr>
            <w:r w:rsidRPr="0078558C">
              <w:t>Number of RX antennas</w:t>
            </w:r>
          </w:p>
        </w:tc>
        <w:tc>
          <w:tcPr>
            <w:tcW w:w="11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B3283F">
            <w:pPr>
              <w:pStyle w:val="TAH"/>
            </w:pPr>
            <w:r w:rsidRPr="0078558C">
              <w:t>Repetition number</w:t>
            </w:r>
          </w:p>
        </w:tc>
        <w:tc>
          <w:tcPr>
            <w:tcW w:w="136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B3283F">
            <w:pPr>
              <w:pStyle w:val="TAH"/>
            </w:pPr>
            <w:r w:rsidRPr="0078558C">
              <w:t>Propagation conditions and correlation matrix (Annex B)</w:t>
            </w:r>
          </w:p>
        </w:tc>
        <w:tc>
          <w:tcPr>
            <w:tcW w:w="108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B3283F">
            <w:pPr>
              <w:pStyle w:val="TAH"/>
            </w:pPr>
            <w:r w:rsidRPr="0078558C">
              <w:t>Frequency offset</w:t>
            </w:r>
          </w:p>
        </w:tc>
        <w:tc>
          <w:tcPr>
            <w:tcW w:w="1060" w:type="dxa"/>
            <w:tcBorders>
              <w:top w:val="single" w:sz="8" w:space="0" w:color="000000"/>
              <w:left w:val="single" w:sz="8" w:space="0" w:color="000000"/>
              <w:bottom w:val="single" w:sz="8" w:space="0" w:color="000000"/>
              <w:right w:val="single" w:sz="8" w:space="0" w:color="000000"/>
            </w:tcBorders>
          </w:tcPr>
          <w:p w:rsidR="004E006D" w:rsidRDefault="004E006D" w:rsidP="004E006D">
            <w:pPr>
              <w:pStyle w:val="TAH"/>
            </w:pPr>
            <w:r>
              <w:t>SNR [dB]</w:t>
            </w:r>
          </w:p>
          <w:p w:rsidR="004E006D" w:rsidRDefault="004E006D" w:rsidP="00B3283F">
            <w:pPr>
              <w:pStyle w:val="TAH"/>
            </w:pPr>
            <w:r>
              <w:t>(36.104)</w:t>
            </w:r>
          </w:p>
        </w:tc>
        <w:tc>
          <w:tcPr>
            <w:tcW w:w="1026" w:type="dxa"/>
            <w:tcBorders>
              <w:top w:val="single" w:sz="8" w:space="0" w:color="000000"/>
              <w:left w:val="single" w:sz="8" w:space="0" w:color="000000"/>
              <w:bottom w:val="single" w:sz="8" w:space="0" w:color="000000"/>
              <w:right w:val="single" w:sz="8" w:space="0" w:color="000000"/>
            </w:tcBorders>
          </w:tcPr>
          <w:p w:rsidR="004E006D" w:rsidRDefault="004E006D" w:rsidP="00B3283F">
            <w:pPr>
              <w:pStyle w:val="TAH"/>
            </w:pPr>
            <w:r>
              <w:t>Delta SNR [dB]</w:t>
            </w:r>
          </w:p>
          <w:p w:rsidR="004E006D" w:rsidRPr="0078558C" w:rsidRDefault="004E006D" w:rsidP="00B3283F">
            <w:pPr>
              <w:pStyle w:val="TAH"/>
            </w:pPr>
            <w:r>
              <w:t xml:space="preserve">Nokia proposal </w:t>
            </w:r>
          </w:p>
        </w:tc>
        <w:tc>
          <w:tcPr>
            <w:tcW w:w="1134" w:type="dxa"/>
            <w:tcBorders>
              <w:top w:val="single" w:sz="8" w:space="0" w:color="000000"/>
              <w:left w:val="single" w:sz="8" w:space="0" w:color="000000"/>
              <w:bottom w:val="single" w:sz="8" w:space="0" w:color="000000"/>
              <w:right w:val="single" w:sz="8" w:space="0" w:color="000000"/>
            </w:tcBorders>
          </w:tcPr>
          <w:p w:rsidR="004E006D" w:rsidRDefault="004E006D" w:rsidP="00B3283F">
            <w:pPr>
              <w:pStyle w:val="TAH"/>
            </w:pPr>
            <w:r>
              <w:t>Delta SNR [dB] Preliminary requirement (36.104)</w:t>
            </w:r>
          </w:p>
        </w:tc>
      </w:tr>
      <w:tr w:rsidR="004E006D" w:rsidRPr="0078558C" w:rsidTr="005D4F5B">
        <w:trPr>
          <w:trHeight w:val="269"/>
        </w:trPr>
        <w:tc>
          <w:tcPr>
            <w:tcW w:w="1090" w:type="dxa"/>
            <w:vMerge/>
            <w:tcBorders>
              <w:top w:val="single" w:sz="8" w:space="0" w:color="000000"/>
              <w:left w:val="single" w:sz="8" w:space="0" w:color="000000"/>
              <w:bottom w:val="single" w:sz="8" w:space="0" w:color="000000"/>
              <w:right w:val="single" w:sz="8" w:space="0" w:color="000000"/>
            </w:tcBorders>
            <w:vAlign w:val="center"/>
            <w:hideMark/>
          </w:tcPr>
          <w:p w:rsidR="004E006D" w:rsidRPr="0078558C" w:rsidRDefault="004E006D" w:rsidP="004E006D">
            <w:pPr>
              <w:pStyle w:val="TAH"/>
            </w:pPr>
          </w:p>
        </w:tc>
        <w:tc>
          <w:tcPr>
            <w:tcW w:w="1152" w:type="dxa"/>
            <w:vMerge/>
            <w:tcBorders>
              <w:top w:val="single" w:sz="8" w:space="0" w:color="000000"/>
              <w:left w:val="single" w:sz="8" w:space="0" w:color="000000"/>
              <w:bottom w:val="single" w:sz="8" w:space="0" w:color="000000"/>
              <w:right w:val="single" w:sz="8" w:space="0" w:color="000000"/>
            </w:tcBorders>
            <w:vAlign w:val="center"/>
            <w:hideMark/>
          </w:tcPr>
          <w:p w:rsidR="004E006D" w:rsidRPr="0078558C" w:rsidRDefault="004E006D" w:rsidP="004E006D">
            <w:pPr>
              <w:pStyle w:val="TAH"/>
            </w:pPr>
          </w:p>
        </w:tc>
        <w:tc>
          <w:tcPr>
            <w:tcW w:w="1147" w:type="dxa"/>
            <w:vMerge/>
            <w:tcBorders>
              <w:top w:val="single" w:sz="8" w:space="0" w:color="000000"/>
              <w:left w:val="single" w:sz="8" w:space="0" w:color="000000"/>
              <w:bottom w:val="single" w:sz="8" w:space="0" w:color="000000"/>
              <w:right w:val="single" w:sz="8" w:space="0" w:color="000000"/>
            </w:tcBorders>
            <w:vAlign w:val="center"/>
            <w:hideMark/>
          </w:tcPr>
          <w:p w:rsidR="004E006D" w:rsidRPr="0078558C" w:rsidRDefault="004E006D" w:rsidP="004E006D">
            <w:pPr>
              <w:pStyle w:val="TAH"/>
            </w:pPr>
          </w:p>
        </w:tc>
        <w:tc>
          <w:tcPr>
            <w:tcW w:w="1364" w:type="dxa"/>
            <w:vMerge/>
            <w:tcBorders>
              <w:top w:val="single" w:sz="8" w:space="0" w:color="000000"/>
              <w:left w:val="single" w:sz="8" w:space="0" w:color="000000"/>
              <w:bottom w:val="single" w:sz="8" w:space="0" w:color="000000"/>
              <w:right w:val="single" w:sz="8" w:space="0" w:color="000000"/>
            </w:tcBorders>
            <w:vAlign w:val="center"/>
            <w:hideMark/>
          </w:tcPr>
          <w:p w:rsidR="004E006D" w:rsidRPr="0078558C" w:rsidRDefault="004E006D" w:rsidP="004E006D">
            <w:pPr>
              <w:pStyle w:val="TAH"/>
            </w:pPr>
          </w:p>
        </w:tc>
        <w:tc>
          <w:tcPr>
            <w:tcW w:w="1089" w:type="dxa"/>
            <w:vMerge/>
            <w:tcBorders>
              <w:top w:val="single" w:sz="8" w:space="0" w:color="000000"/>
              <w:left w:val="single" w:sz="8" w:space="0" w:color="000000"/>
              <w:bottom w:val="single" w:sz="8" w:space="0" w:color="000000"/>
              <w:right w:val="single" w:sz="8" w:space="0" w:color="000000"/>
            </w:tcBorders>
            <w:vAlign w:val="center"/>
            <w:hideMark/>
          </w:tcPr>
          <w:p w:rsidR="004E006D" w:rsidRPr="0078558C" w:rsidRDefault="004E006D" w:rsidP="004E006D">
            <w:pPr>
              <w:pStyle w:val="TAH"/>
            </w:pPr>
          </w:p>
        </w:tc>
        <w:tc>
          <w:tcPr>
            <w:tcW w:w="1060" w:type="dxa"/>
            <w:tcBorders>
              <w:top w:val="single" w:sz="8" w:space="0" w:color="000000"/>
              <w:left w:val="single" w:sz="8" w:space="0" w:color="000000"/>
              <w:bottom w:val="single" w:sz="8" w:space="0" w:color="000000"/>
              <w:right w:val="single" w:sz="8" w:space="0" w:color="000000"/>
            </w:tcBorders>
          </w:tcPr>
          <w:p w:rsidR="004E006D" w:rsidRPr="0078558C" w:rsidRDefault="005D4F5B" w:rsidP="004E006D">
            <w:pPr>
              <w:pStyle w:val="TAH"/>
            </w:pPr>
            <w:r>
              <w:t xml:space="preserve">FDD </w:t>
            </w:r>
            <w:r w:rsidR="004E006D">
              <w:t>Preamble format 0</w:t>
            </w:r>
          </w:p>
        </w:tc>
        <w:tc>
          <w:tcPr>
            <w:tcW w:w="1026" w:type="dxa"/>
            <w:tcBorders>
              <w:top w:val="single" w:sz="8" w:space="0" w:color="000000"/>
              <w:left w:val="single" w:sz="8" w:space="0" w:color="000000"/>
              <w:bottom w:val="single" w:sz="8" w:space="0" w:color="000000"/>
              <w:right w:val="single" w:sz="8" w:space="0" w:color="000000"/>
            </w:tcBorders>
          </w:tcPr>
          <w:p w:rsidR="004E006D" w:rsidRPr="0078558C" w:rsidRDefault="005D4F5B" w:rsidP="004E006D">
            <w:pPr>
              <w:pStyle w:val="TAH"/>
            </w:pPr>
            <w:r>
              <w:t xml:space="preserve">FDD </w:t>
            </w:r>
            <w:r w:rsidR="004E006D">
              <w:t>Preamble format 2</w:t>
            </w:r>
          </w:p>
        </w:tc>
        <w:tc>
          <w:tcPr>
            <w:tcW w:w="1134" w:type="dxa"/>
            <w:tcBorders>
              <w:top w:val="single" w:sz="8" w:space="0" w:color="000000"/>
              <w:left w:val="single" w:sz="8" w:space="0" w:color="000000"/>
              <w:bottom w:val="single" w:sz="8" w:space="0" w:color="000000"/>
              <w:right w:val="single" w:sz="8" w:space="0" w:color="000000"/>
            </w:tcBorders>
          </w:tcPr>
          <w:p w:rsidR="004E006D" w:rsidRPr="0078558C" w:rsidRDefault="005D4F5B" w:rsidP="004E006D">
            <w:pPr>
              <w:pStyle w:val="TAH"/>
            </w:pPr>
            <w:r>
              <w:t xml:space="preserve">FDD </w:t>
            </w:r>
            <w:r w:rsidR="004E006D">
              <w:t>Preamble format 2</w:t>
            </w:r>
          </w:p>
        </w:tc>
      </w:tr>
      <w:tr w:rsidR="004E006D" w:rsidRPr="00285486" w:rsidTr="005D4F5B">
        <w:trPr>
          <w:trHeight w:val="100"/>
        </w:trPr>
        <w:tc>
          <w:tcPr>
            <w:tcW w:w="10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4E006D">
            <w:pPr>
              <w:pStyle w:val="TAC"/>
            </w:pPr>
            <w:r w:rsidRPr="0078558C">
              <w:t>1</w:t>
            </w:r>
          </w:p>
        </w:tc>
        <w:tc>
          <w:tcPr>
            <w:tcW w:w="11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4E006D">
            <w:pPr>
              <w:pStyle w:val="TAC"/>
            </w:pPr>
            <w:r w:rsidRPr="0078558C">
              <w:t>2</w:t>
            </w:r>
          </w:p>
        </w:tc>
        <w:tc>
          <w:tcPr>
            <w:tcW w:w="1147"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4E006D">
            <w:pPr>
              <w:pStyle w:val="TAC"/>
            </w:pPr>
            <w:r w:rsidRPr="0078558C">
              <w:t>8</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4E006D">
            <w:pPr>
              <w:pStyle w:val="TAC"/>
            </w:pPr>
            <w:r w:rsidRPr="0078558C">
              <w:t>AWGN</w:t>
            </w:r>
          </w:p>
        </w:tc>
        <w:tc>
          <w:tcPr>
            <w:tcW w:w="108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4E006D">
            <w:pPr>
              <w:pStyle w:val="TAC"/>
            </w:pPr>
            <w:r w:rsidRPr="0078558C">
              <w:t>0</w:t>
            </w:r>
          </w:p>
        </w:tc>
        <w:tc>
          <w:tcPr>
            <w:tcW w:w="1060" w:type="dxa"/>
            <w:tcBorders>
              <w:top w:val="single" w:sz="8" w:space="0" w:color="000000"/>
              <w:left w:val="single" w:sz="8" w:space="0" w:color="000000"/>
              <w:bottom w:val="single" w:sz="8" w:space="0" w:color="000000"/>
              <w:right w:val="single" w:sz="8" w:space="0" w:color="000000"/>
            </w:tcBorders>
          </w:tcPr>
          <w:p w:rsidR="004E006D" w:rsidRPr="00D358A6" w:rsidRDefault="004E006D" w:rsidP="004E006D">
            <w:pPr>
              <w:pStyle w:val="TAC"/>
            </w:pPr>
            <w:r>
              <w:t>-2.1</w:t>
            </w:r>
          </w:p>
        </w:tc>
        <w:tc>
          <w:tcPr>
            <w:tcW w:w="1026" w:type="dxa"/>
            <w:tcBorders>
              <w:top w:val="single" w:sz="8" w:space="0" w:color="000000"/>
              <w:left w:val="single" w:sz="8" w:space="0" w:color="000000"/>
              <w:bottom w:val="single" w:sz="8" w:space="0" w:color="000000"/>
              <w:right w:val="single" w:sz="8" w:space="0" w:color="000000"/>
            </w:tcBorders>
            <w:shd w:val="clear" w:color="auto" w:fill="auto"/>
          </w:tcPr>
          <w:p w:rsidR="004E006D" w:rsidRPr="00D358A6" w:rsidRDefault="004E006D" w:rsidP="004E006D">
            <w:pPr>
              <w:pStyle w:val="TAC"/>
            </w:pPr>
            <w:r>
              <w:t>1.5</w:t>
            </w:r>
          </w:p>
        </w:tc>
        <w:tc>
          <w:tcPr>
            <w:tcW w:w="1134" w:type="dxa"/>
            <w:tcBorders>
              <w:top w:val="single" w:sz="8" w:space="0" w:color="000000"/>
              <w:left w:val="single" w:sz="8" w:space="0" w:color="000000"/>
              <w:bottom w:val="single" w:sz="8" w:space="0" w:color="000000"/>
              <w:right w:val="single" w:sz="8" w:space="0" w:color="000000"/>
            </w:tcBorders>
            <w:vAlign w:val="center"/>
          </w:tcPr>
          <w:p w:rsidR="004E006D" w:rsidRPr="00285486" w:rsidRDefault="004E006D" w:rsidP="004E006D">
            <w:pPr>
              <w:pStyle w:val="TAC"/>
              <w:rPr>
                <w:rFonts w:cs="Arial"/>
                <w:szCs w:val="18"/>
                <w:lang w:eastAsia="zh-CN"/>
              </w:rPr>
            </w:pPr>
            <w:r>
              <w:rPr>
                <w:rFonts w:cs="Arial"/>
                <w:szCs w:val="18"/>
                <w:lang w:eastAsia="zh-CN"/>
              </w:rPr>
              <w:t>-1.8</w:t>
            </w:r>
          </w:p>
        </w:tc>
      </w:tr>
      <w:tr w:rsidR="004E006D" w:rsidRPr="00285486" w:rsidTr="005D4F5B">
        <w:trPr>
          <w:trHeight w:val="145"/>
        </w:trPr>
        <w:tc>
          <w:tcPr>
            <w:tcW w:w="1090" w:type="dxa"/>
            <w:vMerge/>
            <w:tcBorders>
              <w:top w:val="single" w:sz="8" w:space="0" w:color="000000"/>
              <w:left w:val="single" w:sz="8" w:space="0" w:color="000000"/>
              <w:bottom w:val="single" w:sz="8" w:space="0" w:color="000000"/>
              <w:right w:val="single" w:sz="8" w:space="0" w:color="000000"/>
            </w:tcBorders>
            <w:vAlign w:val="center"/>
            <w:hideMark/>
          </w:tcPr>
          <w:p w:rsidR="004E006D" w:rsidRPr="0078558C" w:rsidRDefault="004E006D" w:rsidP="004E006D">
            <w:pPr>
              <w:pStyle w:val="TAC"/>
            </w:pPr>
          </w:p>
        </w:tc>
        <w:tc>
          <w:tcPr>
            <w:tcW w:w="1152" w:type="dxa"/>
            <w:vMerge/>
            <w:tcBorders>
              <w:top w:val="single" w:sz="8" w:space="0" w:color="000000"/>
              <w:left w:val="single" w:sz="8" w:space="0" w:color="000000"/>
              <w:bottom w:val="single" w:sz="8" w:space="0" w:color="000000"/>
              <w:right w:val="single" w:sz="8" w:space="0" w:color="000000"/>
            </w:tcBorders>
            <w:vAlign w:val="center"/>
            <w:hideMark/>
          </w:tcPr>
          <w:p w:rsidR="004E006D" w:rsidRPr="0078558C" w:rsidRDefault="004E006D" w:rsidP="004E006D">
            <w:pPr>
              <w:pStyle w:val="TAC"/>
            </w:pPr>
          </w:p>
        </w:tc>
        <w:tc>
          <w:tcPr>
            <w:tcW w:w="1147"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4E006D">
            <w:pPr>
              <w:pStyle w:val="TAC"/>
            </w:pPr>
            <w:r w:rsidRPr="0078558C">
              <w:t>32</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4E006D">
            <w:pPr>
              <w:pStyle w:val="TAC"/>
            </w:pPr>
            <w:r w:rsidRPr="0078558C">
              <w:t>AWGN</w:t>
            </w:r>
          </w:p>
        </w:tc>
        <w:tc>
          <w:tcPr>
            <w:tcW w:w="1089" w:type="dxa"/>
            <w:tcBorders>
              <w:top w:val="single" w:sz="8" w:space="0" w:color="000000"/>
              <w:left w:val="single" w:sz="8" w:space="0" w:color="000000"/>
              <w:bottom w:val="single" w:sz="8" w:space="0" w:color="000000"/>
              <w:right w:val="single" w:sz="8" w:space="0" w:color="000000"/>
            </w:tcBorders>
            <w:shd w:val="clear" w:color="auto" w:fill="auto"/>
            <w:tcMar>
              <w:top w:w="15" w:type="dxa"/>
              <w:left w:w="89" w:type="dxa"/>
              <w:bottom w:w="0" w:type="dxa"/>
              <w:right w:w="89" w:type="dxa"/>
            </w:tcMar>
            <w:hideMark/>
          </w:tcPr>
          <w:p w:rsidR="004E006D" w:rsidRPr="0078558C" w:rsidRDefault="004E006D" w:rsidP="004E006D">
            <w:pPr>
              <w:pStyle w:val="TAC"/>
            </w:pPr>
            <w:r w:rsidRPr="0078558C">
              <w:t>0</w:t>
            </w:r>
          </w:p>
        </w:tc>
        <w:tc>
          <w:tcPr>
            <w:tcW w:w="1060" w:type="dxa"/>
            <w:tcBorders>
              <w:top w:val="single" w:sz="8" w:space="0" w:color="000000"/>
              <w:left w:val="single" w:sz="8" w:space="0" w:color="000000"/>
              <w:bottom w:val="single" w:sz="8" w:space="0" w:color="000000"/>
              <w:right w:val="single" w:sz="8" w:space="0" w:color="000000"/>
            </w:tcBorders>
          </w:tcPr>
          <w:p w:rsidR="004E006D" w:rsidRPr="00D358A6" w:rsidRDefault="004E006D" w:rsidP="004E006D">
            <w:pPr>
              <w:pStyle w:val="TAC"/>
              <w:rPr>
                <w:color w:val="000000" w:themeColor="text1"/>
              </w:rPr>
            </w:pPr>
            <w:r>
              <w:rPr>
                <w:color w:val="000000" w:themeColor="text1"/>
              </w:rPr>
              <w:t>-6.8</w:t>
            </w:r>
          </w:p>
        </w:tc>
        <w:tc>
          <w:tcPr>
            <w:tcW w:w="1026" w:type="dxa"/>
            <w:tcBorders>
              <w:top w:val="single" w:sz="8" w:space="0" w:color="000000"/>
              <w:left w:val="single" w:sz="8" w:space="0" w:color="000000"/>
              <w:bottom w:val="single" w:sz="8" w:space="0" w:color="000000"/>
              <w:right w:val="single" w:sz="8" w:space="0" w:color="000000"/>
            </w:tcBorders>
            <w:shd w:val="clear" w:color="auto" w:fill="auto"/>
          </w:tcPr>
          <w:p w:rsidR="004E006D" w:rsidRPr="00D358A6" w:rsidRDefault="004E006D" w:rsidP="004E006D">
            <w:pPr>
              <w:pStyle w:val="TAC"/>
              <w:rPr>
                <w:color w:val="000000" w:themeColor="text1"/>
              </w:rPr>
            </w:pPr>
            <w:r>
              <w:rPr>
                <w:color w:val="000000" w:themeColor="text1"/>
              </w:rPr>
              <w:t>2.1</w:t>
            </w:r>
          </w:p>
        </w:tc>
        <w:tc>
          <w:tcPr>
            <w:tcW w:w="1134" w:type="dxa"/>
            <w:tcBorders>
              <w:top w:val="single" w:sz="8" w:space="0" w:color="000000"/>
              <w:left w:val="single" w:sz="8" w:space="0" w:color="000000"/>
              <w:bottom w:val="single" w:sz="8" w:space="0" w:color="000000"/>
              <w:right w:val="single" w:sz="8" w:space="0" w:color="000000"/>
            </w:tcBorders>
            <w:vAlign w:val="center"/>
          </w:tcPr>
          <w:p w:rsidR="004E006D" w:rsidRPr="00285486" w:rsidRDefault="004E006D" w:rsidP="004E006D">
            <w:pPr>
              <w:pStyle w:val="TAC"/>
              <w:rPr>
                <w:rFonts w:cs="Arial"/>
                <w:szCs w:val="18"/>
                <w:lang w:eastAsia="zh-CN"/>
              </w:rPr>
            </w:pPr>
            <w:r>
              <w:rPr>
                <w:rFonts w:cs="Arial"/>
                <w:szCs w:val="18"/>
                <w:lang w:eastAsia="zh-CN"/>
              </w:rPr>
              <w:t>-1.4</w:t>
            </w:r>
          </w:p>
        </w:tc>
      </w:tr>
    </w:tbl>
    <w:p w:rsidR="00480EBB" w:rsidRDefault="00480EBB" w:rsidP="006F28AC">
      <w:pPr>
        <w:rPr>
          <w:lang w:val="en-GB"/>
        </w:rPr>
      </w:pPr>
    </w:p>
    <w:p w:rsidR="00480EBB" w:rsidRDefault="00480EBB" w:rsidP="006F28AC">
      <w:pPr>
        <w:rPr>
          <w:lang w:val="en-GB"/>
        </w:rPr>
      </w:pPr>
      <w:r>
        <w:rPr>
          <w:lang w:val="en-GB"/>
        </w:rPr>
        <w:t xml:space="preserve">It can be seen that delta SNR has </w:t>
      </w:r>
      <w:r w:rsidR="00B03C53">
        <w:rPr>
          <w:lang w:val="en-GB"/>
        </w:rPr>
        <w:t xml:space="preserve">a </w:t>
      </w:r>
      <w:r>
        <w:rPr>
          <w:lang w:val="en-GB"/>
        </w:rPr>
        <w:t xml:space="preserve">different sign for our results and preliminary figures. Let’s </w:t>
      </w:r>
      <w:r w:rsidR="00B03C53">
        <w:rPr>
          <w:lang w:val="en-GB"/>
        </w:rPr>
        <w:t>compare both formats in a rough analytical way</w:t>
      </w:r>
      <w:r w:rsidR="005D4F5B">
        <w:rPr>
          <w:lang w:val="en-GB"/>
        </w:rPr>
        <w:t xml:space="preserve">. NPRACH demodulation performance is achieved by coherently combining symbols in the same symbol group and non-coherently combining symbols of different symbol groups. The non-coherent gain is assumed to be half of the coherent gain. </w:t>
      </w:r>
      <w:r w:rsidR="00E43CBC">
        <w:rPr>
          <w:lang w:val="en-GB"/>
        </w:rPr>
        <w:t xml:space="preserve">Furthermore, the same modulation scheme (QPSK) is used. </w:t>
      </w:r>
      <w:r w:rsidR="005D4F5B">
        <w:rPr>
          <w:lang w:val="en-GB"/>
        </w:rPr>
        <w:t>The c</w:t>
      </w:r>
      <w:r w:rsidR="0098494A">
        <w:rPr>
          <w:lang w:val="en-GB"/>
        </w:rPr>
        <w:t>o</w:t>
      </w:r>
      <w:r w:rsidR="005D4F5B">
        <w:rPr>
          <w:lang w:val="en-GB"/>
        </w:rPr>
        <w:t>mparison</w:t>
      </w:r>
      <w:r w:rsidR="0098494A">
        <w:rPr>
          <w:lang w:val="en-GB"/>
        </w:rPr>
        <w:t xml:space="preserve"> analysis</w:t>
      </w:r>
      <w:r w:rsidR="005D4F5B">
        <w:rPr>
          <w:lang w:val="en-GB"/>
        </w:rPr>
        <w:t xml:space="preserve"> is shown in Table 4. </w:t>
      </w:r>
    </w:p>
    <w:p w:rsidR="005D4F5B" w:rsidRDefault="005D4F5B" w:rsidP="005D4F5B">
      <w:pPr>
        <w:pStyle w:val="Caption"/>
        <w:keepNext/>
      </w:pPr>
      <w:r>
        <w:t xml:space="preserve">Table </w:t>
      </w:r>
      <w:r>
        <w:rPr>
          <w:noProof/>
        </w:rPr>
        <w:t>4</w:t>
      </w:r>
      <w:r>
        <w:t>: Comparison</w:t>
      </w:r>
      <w:r>
        <w:rPr>
          <w:rFonts w:eastAsia="Calibri" w:cs="Times New Roman"/>
          <w:szCs w:val="20"/>
          <w:lang w:val="en-GB"/>
        </w:rPr>
        <w:t xml:space="preserve"> of preamble gain for NPRACH FDD preamble format 0 and 2 (AWGN).</w:t>
      </w:r>
    </w:p>
    <w:tbl>
      <w:tblPr>
        <w:tblStyle w:val="TableGrid"/>
        <w:tblW w:w="0" w:type="auto"/>
        <w:tblLook w:val="04A0" w:firstRow="1" w:lastRow="0" w:firstColumn="1" w:lastColumn="0" w:noHBand="0" w:noVBand="1"/>
      </w:tblPr>
      <w:tblGrid>
        <w:gridCol w:w="3985"/>
        <w:gridCol w:w="2491"/>
        <w:gridCol w:w="2591"/>
      </w:tblGrid>
      <w:tr w:rsidR="00B03C53" w:rsidTr="00E43CBC">
        <w:tc>
          <w:tcPr>
            <w:tcW w:w="3985" w:type="dxa"/>
          </w:tcPr>
          <w:p w:rsidR="00B03C53" w:rsidRPr="005D4F5B" w:rsidRDefault="005D4F5B" w:rsidP="006F28AC">
            <w:pPr>
              <w:rPr>
                <w:rFonts w:ascii="Arial" w:hAnsi="Arial" w:cs="Arial"/>
                <w:b/>
                <w:sz w:val="18"/>
                <w:szCs w:val="18"/>
                <w:lang w:val="en-GB"/>
              </w:rPr>
            </w:pPr>
            <w:r w:rsidRPr="005D4F5B">
              <w:rPr>
                <w:rFonts w:ascii="Arial" w:hAnsi="Arial" w:cs="Arial"/>
                <w:b/>
                <w:sz w:val="18"/>
                <w:szCs w:val="18"/>
                <w:lang w:val="en-GB"/>
              </w:rPr>
              <w:t>Parameter</w:t>
            </w:r>
          </w:p>
        </w:tc>
        <w:tc>
          <w:tcPr>
            <w:tcW w:w="2491" w:type="dxa"/>
          </w:tcPr>
          <w:p w:rsidR="00B03C53" w:rsidRPr="005D4F5B" w:rsidRDefault="00B03C53" w:rsidP="006F28AC">
            <w:pPr>
              <w:rPr>
                <w:rFonts w:ascii="Arial" w:hAnsi="Arial" w:cs="Arial"/>
                <w:b/>
                <w:sz w:val="18"/>
                <w:szCs w:val="18"/>
                <w:lang w:val="en-GB"/>
              </w:rPr>
            </w:pPr>
            <w:r w:rsidRPr="005D4F5B">
              <w:rPr>
                <w:rFonts w:ascii="Arial" w:hAnsi="Arial" w:cs="Arial"/>
                <w:b/>
                <w:sz w:val="18"/>
                <w:szCs w:val="18"/>
                <w:lang w:val="en-GB"/>
              </w:rPr>
              <w:t>FDD preamble format 0</w:t>
            </w:r>
          </w:p>
        </w:tc>
        <w:tc>
          <w:tcPr>
            <w:tcW w:w="2591" w:type="dxa"/>
          </w:tcPr>
          <w:p w:rsidR="00B03C53" w:rsidRPr="005D4F5B" w:rsidRDefault="00B03C53" w:rsidP="006F28AC">
            <w:pPr>
              <w:rPr>
                <w:rFonts w:ascii="Arial" w:hAnsi="Arial" w:cs="Arial"/>
                <w:b/>
                <w:sz w:val="18"/>
                <w:szCs w:val="18"/>
                <w:lang w:val="en-GB"/>
              </w:rPr>
            </w:pPr>
            <w:r w:rsidRPr="005D4F5B">
              <w:rPr>
                <w:rFonts w:ascii="Arial" w:hAnsi="Arial" w:cs="Arial"/>
                <w:b/>
                <w:sz w:val="18"/>
                <w:szCs w:val="18"/>
                <w:lang w:val="en-GB"/>
              </w:rPr>
              <w:t>FDD preamble format 2</w:t>
            </w:r>
          </w:p>
        </w:tc>
      </w:tr>
      <w:tr w:rsidR="00B03C53" w:rsidTr="00E43CBC">
        <w:tc>
          <w:tcPr>
            <w:tcW w:w="3985" w:type="dxa"/>
          </w:tcPr>
          <w:p w:rsidR="00B03C53" w:rsidRDefault="00B03C53" w:rsidP="006F28AC">
            <w:pPr>
              <w:rPr>
                <w:lang w:val="en-GB"/>
              </w:rPr>
            </w:pPr>
            <w:r w:rsidRPr="0078558C">
              <w:t>Number of</w:t>
            </w:r>
            <w:r>
              <w:t xml:space="preserve"> symbols in symbol group N</w:t>
            </w:r>
          </w:p>
        </w:tc>
        <w:tc>
          <w:tcPr>
            <w:tcW w:w="2491" w:type="dxa"/>
          </w:tcPr>
          <w:p w:rsidR="00B03C53" w:rsidRDefault="00B03C53" w:rsidP="006F28AC">
            <w:pPr>
              <w:rPr>
                <w:lang w:val="en-GB"/>
              </w:rPr>
            </w:pPr>
            <w:r>
              <w:rPr>
                <w:lang w:val="en-GB"/>
              </w:rPr>
              <w:t>5</w:t>
            </w:r>
          </w:p>
        </w:tc>
        <w:tc>
          <w:tcPr>
            <w:tcW w:w="2591" w:type="dxa"/>
          </w:tcPr>
          <w:p w:rsidR="00B03C53" w:rsidRDefault="00B03C53" w:rsidP="006F28AC">
            <w:pPr>
              <w:rPr>
                <w:lang w:val="en-GB"/>
              </w:rPr>
            </w:pPr>
            <w:r>
              <w:rPr>
                <w:lang w:val="en-GB"/>
              </w:rPr>
              <w:t>3</w:t>
            </w:r>
          </w:p>
        </w:tc>
      </w:tr>
      <w:tr w:rsidR="00B03C53" w:rsidTr="00E43CBC">
        <w:tc>
          <w:tcPr>
            <w:tcW w:w="3985" w:type="dxa"/>
          </w:tcPr>
          <w:p w:rsidR="00B03C53" w:rsidRDefault="00B03C53" w:rsidP="006F28AC">
            <w:pPr>
              <w:rPr>
                <w:lang w:val="en-GB"/>
              </w:rPr>
            </w:pPr>
            <w:r>
              <w:rPr>
                <w:lang w:val="en-GB"/>
              </w:rPr>
              <w:t xml:space="preserve">Number of symbol groups per preamble P </w:t>
            </w:r>
          </w:p>
        </w:tc>
        <w:tc>
          <w:tcPr>
            <w:tcW w:w="2491" w:type="dxa"/>
          </w:tcPr>
          <w:p w:rsidR="00B03C53" w:rsidRDefault="00B03C53" w:rsidP="006F28AC">
            <w:pPr>
              <w:rPr>
                <w:lang w:val="en-GB"/>
              </w:rPr>
            </w:pPr>
            <w:r>
              <w:rPr>
                <w:lang w:val="en-GB"/>
              </w:rPr>
              <w:t>4</w:t>
            </w:r>
          </w:p>
        </w:tc>
        <w:tc>
          <w:tcPr>
            <w:tcW w:w="2591" w:type="dxa"/>
          </w:tcPr>
          <w:p w:rsidR="00B03C53" w:rsidRDefault="00B03C53" w:rsidP="006F28AC">
            <w:pPr>
              <w:rPr>
                <w:lang w:val="en-GB"/>
              </w:rPr>
            </w:pPr>
            <w:r>
              <w:rPr>
                <w:lang w:val="en-GB"/>
              </w:rPr>
              <w:t>6</w:t>
            </w:r>
          </w:p>
        </w:tc>
      </w:tr>
      <w:tr w:rsidR="00E43CBC" w:rsidTr="00E43CBC">
        <w:tc>
          <w:tcPr>
            <w:tcW w:w="3985" w:type="dxa"/>
          </w:tcPr>
          <w:p w:rsidR="00E43CBC" w:rsidRDefault="00E43CBC" w:rsidP="00E43CBC">
            <w:pPr>
              <w:rPr>
                <w:lang w:val="en-GB"/>
              </w:rPr>
            </w:pPr>
            <w:r>
              <w:rPr>
                <w:lang w:val="en-GB"/>
              </w:rPr>
              <w:t>Number of subcarriers in 45 kHz narrow band</w:t>
            </w:r>
          </w:p>
        </w:tc>
        <w:tc>
          <w:tcPr>
            <w:tcW w:w="2491" w:type="dxa"/>
          </w:tcPr>
          <w:p w:rsidR="00E43CBC" w:rsidRDefault="00E43CBC" w:rsidP="00E43CBC">
            <w:pPr>
              <w:rPr>
                <w:lang w:val="en-GB"/>
              </w:rPr>
            </w:pPr>
            <w:r>
              <w:rPr>
                <w:lang w:val="en-GB"/>
              </w:rPr>
              <w:t>12</w:t>
            </w:r>
          </w:p>
        </w:tc>
        <w:tc>
          <w:tcPr>
            <w:tcW w:w="2591" w:type="dxa"/>
          </w:tcPr>
          <w:p w:rsidR="00E43CBC" w:rsidRDefault="00E43CBC" w:rsidP="00E43CBC">
            <w:pPr>
              <w:rPr>
                <w:lang w:val="en-GB"/>
              </w:rPr>
            </w:pPr>
            <w:r>
              <w:rPr>
                <w:lang w:val="en-GB"/>
              </w:rPr>
              <w:t>36</w:t>
            </w:r>
          </w:p>
        </w:tc>
      </w:tr>
      <w:tr w:rsidR="00E43CBC" w:rsidTr="00E43CBC">
        <w:tc>
          <w:tcPr>
            <w:tcW w:w="3985" w:type="dxa"/>
          </w:tcPr>
          <w:p w:rsidR="00E43CBC" w:rsidRDefault="00E43CBC" w:rsidP="00E43CBC">
            <w:pPr>
              <w:rPr>
                <w:lang w:val="en-GB"/>
              </w:rPr>
            </w:pPr>
            <w:r>
              <w:rPr>
                <w:lang w:val="en-GB"/>
              </w:rPr>
              <w:t xml:space="preserve">Coherent gain in symbol group </w:t>
            </w:r>
          </w:p>
        </w:tc>
        <w:tc>
          <w:tcPr>
            <w:tcW w:w="2491" w:type="dxa"/>
          </w:tcPr>
          <w:p w:rsidR="00E43CBC" w:rsidRDefault="00E43CBC" w:rsidP="00E43CBC">
            <w:pPr>
              <w:rPr>
                <w:lang w:val="en-GB"/>
              </w:rPr>
            </w:pPr>
            <w:r>
              <w:rPr>
                <w:lang w:val="en-GB"/>
              </w:rPr>
              <w:t>7 dB (=10 * log10(5))</w:t>
            </w:r>
          </w:p>
        </w:tc>
        <w:tc>
          <w:tcPr>
            <w:tcW w:w="2591" w:type="dxa"/>
          </w:tcPr>
          <w:p w:rsidR="00E43CBC" w:rsidRDefault="00E43CBC" w:rsidP="00E43CBC">
            <w:pPr>
              <w:rPr>
                <w:lang w:val="en-GB"/>
              </w:rPr>
            </w:pPr>
            <w:r>
              <w:rPr>
                <w:lang w:val="en-GB"/>
              </w:rPr>
              <w:t>4.8 dB (=10 * log10(3))</w:t>
            </w:r>
          </w:p>
        </w:tc>
      </w:tr>
      <w:tr w:rsidR="00E43CBC" w:rsidTr="00E43CBC">
        <w:tc>
          <w:tcPr>
            <w:tcW w:w="3985" w:type="dxa"/>
          </w:tcPr>
          <w:p w:rsidR="00E43CBC" w:rsidRDefault="00E43CBC" w:rsidP="00E43CBC">
            <w:pPr>
              <w:rPr>
                <w:lang w:val="en-GB"/>
              </w:rPr>
            </w:pPr>
            <w:r>
              <w:rPr>
                <w:lang w:val="en-GB"/>
              </w:rPr>
              <w:t>Non-coherent gain between symbol groups</w:t>
            </w:r>
          </w:p>
        </w:tc>
        <w:tc>
          <w:tcPr>
            <w:tcW w:w="2491" w:type="dxa"/>
          </w:tcPr>
          <w:p w:rsidR="00E43CBC" w:rsidRDefault="00E43CBC" w:rsidP="00E43CBC">
            <w:pPr>
              <w:rPr>
                <w:lang w:val="en-GB"/>
              </w:rPr>
            </w:pPr>
            <w:r>
              <w:rPr>
                <w:lang w:val="en-GB"/>
              </w:rPr>
              <w:t xml:space="preserve">3 dB (= 0.5 * 10 * log10(4)) </w:t>
            </w:r>
          </w:p>
        </w:tc>
        <w:tc>
          <w:tcPr>
            <w:tcW w:w="2591" w:type="dxa"/>
          </w:tcPr>
          <w:p w:rsidR="00E43CBC" w:rsidRDefault="00E43CBC" w:rsidP="00E43CBC">
            <w:pPr>
              <w:rPr>
                <w:lang w:val="en-GB"/>
              </w:rPr>
            </w:pPr>
            <w:r>
              <w:rPr>
                <w:lang w:val="en-GB"/>
              </w:rPr>
              <w:t>3.9 dB (= 0.5 *10 * log10(6))</w:t>
            </w:r>
          </w:p>
        </w:tc>
      </w:tr>
      <w:tr w:rsidR="00E43CBC" w:rsidTr="00E43CBC">
        <w:tc>
          <w:tcPr>
            <w:tcW w:w="3985" w:type="dxa"/>
          </w:tcPr>
          <w:p w:rsidR="00E43CBC" w:rsidRDefault="00E43CBC" w:rsidP="00E43CBC">
            <w:pPr>
              <w:rPr>
                <w:lang w:val="en-GB"/>
              </w:rPr>
            </w:pPr>
            <w:r>
              <w:rPr>
                <w:lang w:val="en-GB"/>
              </w:rPr>
              <w:t>Total gain of preamble over symbol</w:t>
            </w:r>
          </w:p>
        </w:tc>
        <w:tc>
          <w:tcPr>
            <w:tcW w:w="2491" w:type="dxa"/>
          </w:tcPr>
          <w:p w:rsidR="00E43CBC" w:rsidRDefault="00E43CBC" w:rsidP="00E43CBC">
            <w:pPr>
              <w:rPr>
                <w:lang w:val="en-GB"/>
              </w:rPr>
            </w:pPr>
            <w:r>
              <w:rPr>
                <w:lang w:val="en-GB"/>
              </w:rPr>
              <w:t>10 dB</w:t>
            </w:r>
          </w:p>
        </w:tc>
        <w:tc>
          <w:tcPr>
            <w:tcW w:w="2591" w:type="dxa"/>
          </w:tcPr>
          <w:p w:rsidR="00E43CBC" w:rsidRDefault="00E43CBC" w:rsidP="00E43CBC">
            <w:pPr>
              <w:rPr>
                <w:lang w:val="en-GB"/>
              </w:rPr>
            </w:pPr>
            <w:r>
              <w:rPr>
                <w:lang w:val="en-GB"/>
              </w:rPr>
              <w:t>8.7 dB</w:t>
            </w:r>
          </w:p>
        </w:tc>
      </w:tr>
    </w:tbl>
    <w:p w:rsidR="00B03C53" w:rsidRDefault="00B03C53" w:rsidP="006F28AC">
      <w:pPr>
        <w:rPr>
          <w:lang w:val="en-GB"/>
        </w:rPr>
      </w:pPr>
    </w:p>
    <w:p w:rsidR="0098494A" w:rsidRPr="006F28AC" w:rsidRDefault="005D4F5B" w:rsidP="0098494A">
      <w:pPr>
        <w:rPr>
          <w:lang w:val="en-GB"/>
        </w:rPr>
      </w:pPr>
      <w:r>
        <w:rPr>
          <w:lang w:val="en-GB"/>
        </w:rPr>
        <w:t xml:space="preserve">Table 4 depicts a difference of 1.3 dB </w:t>
      </w:r>
      <w:r w:rsidR="00E43CBC">
        <w:rPr>
          <w:lang w:val="en-GB"/>
        </w:rPr>
        <w:t xml:space="preserve">in the total gain </w:t>
      </w:r>
      <w:r>
        <w:rPr>
          <w:lang w:val="en-GB"/>
        </w:rPr>
        <w:t xml:space="preserve">for the above taken assumptions. This means that for AWGN channel a relative loss of 1.3 dB is observed </w:t>
      </w:r>
      <w:r w:rsidR="005D4B8B">
        <w:rPr>
          <w:lang w:val="en-GB"/>
        </w:rPr>
        <w:t xml:space="preserve">for NPRACH FDD preamble format 2 </w:t>
      </w:r>
      <w:r>
        <w:rPr>
          <w:lang w:val="en-GB"/>
        </w:rPr>
        <w:t xml:space="preserve">versus NPRACH FDD preamble format 0. </w:t>
      </w:r>
      <w:r w:rsidR="00976ABD">
        <w:rPr>
          <w:lang w:val="en-GB"/>
        </w:rPr>
        <w:t xml:space="preserve">Even in </w:t>
      </w:r>
      <w:r w:rsidR="00967205">
        <w:rPr>
          <w:lang w:val="en-GB"/>
        </w:rPr>
        <w:t xml:space="preserve">the unrealistic </w:t>
      </w:r>
      <w:r w:rsidR="00976ABD">
        <w:rPr>
          <w:lang w:val="en-GB"/>
        </w:rPr>
        <w:t>case</w:t>
      </w:r>
      <w:r w:rsidR="00967205">
        <w:rPr>
          <w:lang w:val="en-GB"/>
        </w:rPr>
        <w:t>,</w:t>
      </w:r>
      <w:r w:rsidR="00976ABD">
        <w:rPr>
          <w:lang w:val="en-GB"/>
        </w:rPr>
        <w:t xml:space="preserve"> there was no performance degradation for non-coherent combining, a loss </w:t>
      </w:r>
      <w:r w:rsidR="00967205">
        <w:rPr>
          <w:lang w:val="en-GB"/>
        </w:rPr>
        <w:t xml:space="preserve">L = </w:t>
      </w:r>
      <w:r w:rsidR="00976ABD">
        <w:rPr>
          <w:lang w:val="en-GB"/>
        </w:rPr>
        <w:t>10</w:t>
      </w:r>
      <w:r w:rsidR="00967205">
        <w:rPr>
          <w:lang w:val="en-GB"/>
        </w:rPr>
        <w:t xml:space="preserve"> </w:t>
      </w:r>
      <w:r w:rsidR="00976ABD">
        <w:rPr>
          <w:lang w:val="en-GB"/>
        </w:rPr>
        <w:t>*</w:t>
      </w:r>
      <w:r w:rsidR="00967205">
        <w:rPr>
          <w:lang w:val="en-GB"/>
        </w:rPr>
        <w:t xml:space="preserve"> </w:t>
      </w:r>
      <w:r w:rsidR="00976ABD">
        <w:rPr>
          <w:lang w:val="en-GB"/>
        </w:rPr>
        <w:t>l</w:t>
      </w:r>
      <w:r w:rsidR="00351CB5">
        <w:rPr>
          <w:lang w:val="en-GB"/>
        </w:rPr>
        <w:t>o</w:t>
      </w:r>
      <w:r w:rsidR="00976ABD">
        <w:rPr>
          <w:lang w:val="en-GB"/>
        </w:rPr>
        <w:t>g</w:t>
      </w:r>
      <w:r w:rsidR="00351CB5">
        <w:rPr>
          <w:lang w:val="en-GB"/>
        </w:rPr>
        <w:t>10</w:t>
      </w:r>
      <w:r w:rsidR="00976ABD">
        <w:rPr>
          <w:lang w:val="en-GB"/>
        </w:rPr>
        <w:t xml:space="preserve">(20/18) </w:t>
      </w:r>
      <w:r w:rsidR="00967205">
        <w:rPr>
          <w:lang w:val="en-GB"/>
        </w:rPr>
        <w:t xml:space="preserve">= 0.5 dB </w:t>
      </w:r>
      <w:r w:rsidR="00976ABD">
        <w:rPr>
          <w:lang w:val="en-GB"/>
        </w:rPr>
        <w:t xml:space="preserve">is expected. </w:t>
      </w:r>
      <w:r w:rsidR="005D4B8B">
        <w:rPr>
          <w:lang w:val="en-GB"/>
        </w:rPr>
        <w:t xml:space="preserve">Thus, it is not plausible to assume improved performance for NPRACH FDD preamble 2 versus preamble 0 as given in the preliminary requirements. </w:t>
      </w:r>
    </w:p>
    <w:p w:rsidR="0098494A" w:rsidRDefault="0098494A" w:rsidP="0098494A">
      <w:pPr>
        <w:pStyle w:val="RAN4Observation"/>
        <w:ind w:left="0" w:firstLine="0"/>
      </w:pPr>
      <w:r>
        <w:t>It is not plausible to assume improved performance for NPRACH FDD preamble 2 versus preamble 0 as given in the preliminary requirements.</w:t>
      </w:r>
    </w:p>
    <w:p w:rsidR="0098494A" w:rsidRPr="0098494A" w:rsidRDefault="0098494A" w:rsidP="0098494A">
      <w:pPr>
        <w:pStyle w:val="RAN4proposal"/>
        <w:ind w:left="0" w:firstLine="0"/>
      </w:pPr>
      <w:r>
        <w:t>Agree the proposed figures from Nokia in Table 1 for updated preliminary requirements.</w:t>
      </w:r>
    </w:p>
    <w:p w:rsidR="0098494A" w:rsidRDefault="0098494A" w:rsidP="006F28AC">
      <w:pPr>
        <w:rPr>
          <w:lang w:val="en-GB"/>
        </w:rPr>
      </w:pPr>
    </w:p>
    <w:p w:rsidR="005D4B8B" w:rsidRDefault="005D4B8B" w:rsidP="005D4B8B">
      <w:pPr>
        <w:pStyle w:val="RAN4H2"/>
        <w:rPr>
          <w:lang w:val="en-GB"/>
        </w:rPr>
      </w:pPr>
      <w:r>
        <w:rPr>
          <w:lang w:val="en-GB"/>
        </w:rPr>
        <w:t xml:space="preserve">SNR definition for NPRACH </w:t>
      </w:r>
    </w:p>
    <w:p w:rsidR="005D4B8B" w:rsidRDefault="005D4B8B" w:rsidP="006F28AC">
      <w:pPr>
        <w:rPr>
          <w:lang w:val="en-GB"/>
        </w:rPr>
      </w:pPr>
      <w:r>
        <w:rPr>
          <w:lang w:val="en-GB"/>
        </w:rPr>
        <w:t>Moreover, the SNR definition in TS 36.104 states in subclause 8.1, General, the following:</w:t>
      </w:r>
    </w:p>
    <w:p w:rsidR="005D4B8B" w:rsidRPr="005D4B8B" w:rsidRDefault="005D4B8B" w:rsidP="005D4B8B">
      <w:pPr>
        <w:rPr>
          <w:b/>
          <w:i/>
        </w:rPr>
      </w:pPr>
      <w:r w:rsidRPr="005D4B8B">
        <w:rPr>
          <w:b/>
          <w:i/>
          <w:u w:val="single"/>
        </w:rPr>
        <w:t>Extract of TS 36.104, subclause 8.1:</w:t>
      </w:r>
    </w:p>
    <w:p w:rsidR="005D4B8B" w:rsidRPr="00355D13" w:rsidRDefault="005D4B8B" w:rsidP="005D4B8B">
      <w:r w:rsidRPr="00355D13">
        <w:t>Performance requirements for the BS are specified for the fixed reference channels defined in Annex A and the propagation conditions in Annex B. The requirements only apply to those FRCs that are supported by the base station.</w:t>
      </w:r>
    </w:p>
    <w:p w:rsidR="005D4B8B" w:rsidRPr="00355D13" w:rsidRDefault="005D4B8B" w:rsidP="005D4B8B">
      <w:r w:rsidRPr="00355D13">
        <w:t>Unless stated otherwise, performance requirements apply for a single carrier only. Performance requirements for a BS supporting carrier aggregation are defined in terms of single carrier requirements. For FDD operation the requirements in clause 8 shall be met with the transmitter(s) on.</w:t>
      </w:r>
    </w:p>
    <w:p w:rsidR="005D4B8B" w:rsidRPr="00355D13" w:rsidRDefault="005D4B8B" w:rsidP="005D4B8B">
      <w:pPr>
        <w:pStyle w:val="NO"/>
      </w:pPr>
      <w:r w:rsidRPr="00355D13">
        <w:t>NOTE:</w:t>
      </w:r>
      <w:r w:rsidRPr="00355D13">
        <w:tab/>
        <w:t>In normal operating conditions the BS in FDD operation is configured to transmit and receive at the same time. The transmitter may be off for some of the tests as specifed in 36.141 [4].</w:t>
      </w:r>
    </w:p>
    <w:p w:rsidR="005D4B8B" w:rsidRPr="00355D13" w:rsidRDefault="005D4B8B" w:rsidP="005D4B8B">
      <w:r w:rsidRPr="00355D13">
        <w:t xml:space="preserve">The SNR used in this clause is </w:t>
      </w:r>
      <w:r w:rsidRPr="00355D13">
        <w:rPr>
          <w:rFonts w:hint="eastAsia"/>
          <w:lang w:eastAsia="zh-CN"/>
        </w:rPr>
        <w:t xml:space="preserve">specified based on a single carrier and </w:t>
      </w:r>
      <w:r w:rsidRPr="00355D13">
        <w:t>defined as:</w:t>
      </w:r>
    </w:p>
    <w:p w:rsidR="005D4B8B" w:rsidRPr="00355D13" w:rsidRDefault="005D4B8B" w:rsidP="005D4B8B">
      <w:pPr>
        <w:pStyle w:val="B1"/>
      </w:pPr>
      <w:r w:rsidRPr="00355D13">
        <w:lastRenderedPageBreak/>
        <w:t>SNR = S / N</w:t>
      </w:r>
    </w:p>
    <w:p w:rsidR="005D4B8B" w:rsidRPr="00355D13" w:rsidRDefault="005D4B8B" w:rsidP="005D4B8B">
      <w:r w:rsidRPr="00355D13">
        <w:t>Where:</w:t>
      </w:r>
    </w:p>
    <w:p w:rsidR="005D4B8B" w:rsidRPr="00F461AC" w:rsidRDefault="005D4B8B" w:rsidP="005D4B8B">
      <w:pPr>
        <w:tabs>
          <w:tab w:val="left" w:pos="709"/>
        </w:tabs>
        <w:ind w:firstLine="284"/>
        <w:rPr>
          <w:highlight w:val="yellow"/>
        </w:rPr>
      </w:pPr>
      <w:r w:rsidRPr="00F461AC">
        <w:rPr>
          <w:highlight w:val="yellow"/>
        </w:rPr>
        <w:t>S</w:t>
      </w:r>
      <w:r w:rsidRPr="00F461AC">
        <w:rPr>
          <w:highlight w:val="yellow"/>
        </w:rPr>
        <w:tab/>
        <w:t>is the total signal energy in the subframe on a single antenna port.</w:t>
      </w:r>
    </w:p>
    <w:p w:rsidR="005D4B8B" w:rsidRPr="00355D13" w:rsidRDefault="005D4B8B" w:rsidP="005D4B8B">
      <w:pPr>
        <w:ind w:left="709" w:hanging="425"/>
        <w:rPr>
          <w:lang w:eastAsia="zh-CN"/>
        </w:rPr>
      </w:pPr>
      <w:r w:rsidRPr="00F461AC">
        <w:rPr>
          <w:highlight w:val="yellow"/>
        </w:rPr>
        <w:t>N</w:t>
      </w:r>
      <w:r w:rsidRPr="00F461AC">
        <w:rPr>
          <w:highlight w:val="yellow"/>
        </w:rPr>
        <w:tab/>
        <w:t>is the noise energy in a bandwidth corresponding to the transmission bandwidth over the duration of a subframe.</w:t>
      </w:r>
    </w:p>
    <w:p w:rsidR="005D4B8B" w:rsidRPr="00355D13" w:rsidRDefault="005D4B8B" w:rsidP="005D4B8B">
      <w:r w:rsidRPr="00355D13">
        <w:t>For enhanced performance requirements type</w:t>
      </w:r>
      <w:r w:rsidRPr="00355D13">
        <w:rPr>
          <w:rFonts w:hint="eastAsia"/>
          <w:lang w:eastAsia="zh-CN"/>
        </w:rPr>
        <w:t xml:space="preserve"> A and type B</w:t>
      </w:r>
      <w:r w:rsidRPr="00355D13">
        <w:t>, the SINR used in this clause is specified based on a single carrier and defined as:</w:t>
      </w:r>
    </w:p>
    <w:p w:rsidR="005D4B8B" w:rsidRPr="00355D13" w:rsidRDefault="005D4B8B" w:rsidP="005D4B8B">
      <w:pPr>
        <w:ind w:left="284" w:firstLine="284"/>
        <w:rPr>
          <w:lang w:eastAsia="zh-CN"/>
        </w:rPr>
      </w:pPr>
      <w:r w:rsidRPr="00355D13">
        <w:rPr>
          <w:position w:val="-10"/>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8" o:title=""/>
          </v:shape>
          <o:OLEObject Type="Embed" ProgID="Equation.DSMT4" ShapeID="_x0000_i1025" DrawAspect="Content" ObjectID="_1615649285" r:id="rId9"/>
        </w:object>
      </w:r>
    </w:p>
    <w:p w:rsidR="005D4B8B" w:rsidRPr="00355D13" w:rsidRDefault="005D4B8B" w:rsidP="005D4B8B">
      <w:r w:rsidRPr="00355D13">
        <w:t>Where:</w:t>
      </w:r>
    </w:p>
    <w:p w:rsidR="005D4B8B" w:rsidRPr="00355D13" w:rsidRDefault="005D4B8B" w:rsidP="005D4B8B">
      <w:pPr>
        <w:tabs>
          <w:tab w:val="left" w:pos="709"/>
        </w:tabs>
        <w:ind w:firstLine="284"/>
      </w:pPr>
      <w:r w:rsidRPr="00355D13">
        <w:rPr>
          <w:position w:val="-6"/>
        </w:rPr>
        <w:object w:dxaOrig="200" w:dyaOrig="260">
          <v:shape id="_x0000_i1026" type="#_x0000_t75" style="width:6.6pt;height:14.4pt" o:ole="">
            <v:imagedata r:id="rId10" o:title=""/>
          </v:shape>
          <o:OLEObject Type="Embed" ProgID="Equation.DSMT4" ShapeID="_x0000_i1026" DrawAspect="Content" ObjectID="_1615649286" r:id="rId11"/>
        </w:object>
      </w:r>
      <w:r w:rsidRPr="00355D13">
        <w:tab/>
        <w:t>is the total signal energy of one intra-cell UE in the subframe on a single antenna port.</w:t>
      </w:r>
    </w:p>
    <w:p w:rsidR="005D4B8B" w:rsidRPr="005D4B8B" w:rsidRDefault="005D4B8B" w:rsidP="005D4B8B">
      <w:pPr>
        <w:ind w:left="709" w:hanging="425"/>
        <w:rPr>
          <w:rFonts w:eastAsia="?? ??" w:cs="v5.0.0"/>
        </w:rPr>
      </w:pPr>
      <w:r w:rsidRPr="00355D13">
        <w:rPr>
          <w:position w:val="-6"/>
        </w:rPr>
        <w:object w:dxaOrig="300" w:dyaOrig="260">
          <v:shape id="_x0000_i1027" type="#_x0000_t75" style="width:14.4pt;height:14.4pt" o:ole="">
            <v:imagedata r:id="rId12" o:title=""/>
          </v:shape>
          <o:OLEObject Type="Embed" ProgID="Equation.DSMT4" ShapeID="_x0000_i1027" DrawAspect="Content" ObjectID="_1615649287" r:id="rId13"/>
        </w:object>
      </w:r>
      <w:r w:rsidRPr="00355D13">
        <w:tab/>
        <w:t xml:space="preserve">is </w:t>
      </w:r>
      <w:r w:rsidRPr="00355D13">
        <w:rPr>
          <w:rFonts w:hint="eastAsia"/>
          <w:lang w:eastAsia="zh-CN"/>
        </w:rPr>
        <w:t xml:space="preserve">the summation of the received energy of the </w:t>
      </w:r>
      <w:r w:rsidRPr="00355D13">
        <w:t xml:space="preserve">strongest inter-cell </w:t>
      </w:r>
      <w:r w:rsidRPr="00355D13">
        <w:rPr>
          <w:rFonts w:hint="eastAsia"/>
          <w:lang w:eastAsia="zh-CN"/>
        </w:rPr>
        <w:t xml:space="preserve">interferers </w:t>
      </w:r>
      <w:r w:rsidRPr="00355D13">
        <w:t xml:space="preserve">explicitly defined in a test procedure plus </w:t>
      </w:r>
      <w:r w:rsidRPr="00355D13">
        <w:rPr>
          <w:rFonts w:hint="eastAsia"/>
          <w:lang w:eastAsia="zh-CN"/>
        </w:rPr>
        <w:t>the</w:t>
      </w:r>
      <w:r w:rsidRPr="00355D13">
        <w:rPr>
          <w:rFonts w:hint="eastAsia"/>
          <w:i/>
          <w:lang w:eastAsia="zh-CN"/>
        </w:rPr>
        <w:t xml:space="preserve"> </w:t>
      </w:r>
      <w:r w:rsidRPr="00355D13">
        <w:rPr>
          <w:rFonts w:hint="eastAsia"/>
          <w:lang w:eastAsia="zh-CN"/>
        </w:rPr>
        <w:t xml:space="preserve">white noise energy </w:t>
      </w:r>
      <w:r w:rsidRPr="00355D13">
        <w:rPr>
          <w:rFonts w:hint="eastAsia"/>
          <w:i/>
          <w:lang w:eastAsia="zh-CN"/>
        </w:rPr>
        <w:t>N</w:t>
      </w:r>
      <w:r w:rsidRPr="00355D13">
        <w:rPr>
          <w:rFonts w:hint="eastAsia"/>
          <w:lang w:eastAsia="zh-CN"/>
        </w:rPr>
        <w:t xml:space="preserve">, </w:t>
      </w:r>
      <w:r w:rsidRPr="00355D13">
        <w:t>in a bandwidth corresponding to the transmission bandwidth over the duration of a subframe</w:t>
      </w:r>
      <w:r w:rsidRPr="00355D13">
        <w:rPr>
          <w:rFonts w:hint="eastAsia"/>
          <w:lang w:eastAsia="zh-CN"/>
        </w:rPr>
        <w:t xml:space="preserve"> </w:t>
      </w:r>
      <w:r w:rsidRPr="00355D13">
        <w:t>on a single antenna port.</w:t>
      </w:r>
      <w:r w:rsidRPr="00355D13">
        <w:rPr>
          <w:rFonts w:hint="eastAsia"/>
          <w:lang w:eastAsia="zh-CN"/>
        </w:rPr>
        <w:t xml:space="preserve"> </w:t>
      </w:r>
      <w:r w:rsidRPr="00355D13">
        <w:rPr>
          <w:rFonts w:eastAsia="?? ??" w:cs="v5.0.0"/>
        </w:rPr>
        <w:t xml:space="preserve">The respective </w:t>
      </w:r>
      <w:r w:rsidRPr="00355D13">
        <w:rPr>
          <w:rFonts w:cs="v5.0.0" w:hint="eastAsia"/>
          <w:lang w:eastAsia="zh-CN"/>
        </w:rPr>
        <w:t>energy</w:t>
      </w:r>
      <w:r w:rsidRPr="00355D13">
        <w:rPr>
          <w:rFonts w:eastAsia="?? ??" w:cs="v5.0.0"/>
        </w:rPr>
        <w:t xml:space="preserve"> of each </w:t>
      </w:r>
      <w:r w:rsidRPr="00355D13">
        <w:rPr>
          <w:rFonts w:cs="v5.0.0" w:hint="eastAsia"/>
          <w:lang w:eastAsia="zh-CN"/>
        </w:rPr>
        <w:t>inter-cell interferer</w:t>
      </w:r>
      <w:r w:rsidRPr="00355D13">
        <w:rPr>
          <w:rFonts w:eastAsia="?? ??" w:cs="v5.0.0"/>
        </w:rPr>
        <w:t xml:space="preserve"> relative to </w:t>
      </w:r>
      <w:r w:rsidRPr="00355D13">
        <w:rPr>
          <w:position w:val="-6"/>
        </w:rPr>
        <w:object w:dxaOrig="300" w:dyaOrig="260">
          <v:shape id="_x0000_i1028" type="#_x0000_t75" style="width:14.4pt;height:14.4pt" o:ole="">
            <v:imagedata r:id="rId12" o:title=""/>
          </v:shape>
          <o:OLEObject Type="Embed" ProgID="Equation.DSMT4" ShapeID="_x0000_i1028" DrawAspect="Content" ObjectID="_1615649288" r:id="rId14"/>
        </w:object>
      </w:r>
      <w:r w:rsidRPr="00355D13">
        <w:rPr>
          <w:rFonts w:eastAsia="?? ??" w:cs="v5.0.0"/>
        </w:rPr>
        <w:t xml:space="preserve"> is defined by its associated DIP value.</w:t>
      </w:r>
    </w:p>
    <w:p w:rsidR="005D4B8B" w:rsidRDefault="005D4B8B" w:rsidP="006F28AC">
      <w:pPr>
        <w:rPr>
          <w:b/>
          <w:i/>
          <w:u w:val="single"/>
          <w:lang w:val="en-GB"/>
        </w:rPr>
      </w:pPr>
      <w:r w:rsidRPr="005D4B8B">
        <w:rPr>
          <w:b/>
          <w:i/>
          <w:u w:val="single"/>
          <w:lang w:val="en-GB"/>
        </w:rPr>
        <w:t>End of extract</w:t>
      </w:r>
    </w:p>
    <w:p w:rsidR="005D4B8B" w:rsidRDefault="005D4B8B" w:rsidP="006F28AC">
      <w:pPr>
        <w:rPr>
          <w:lang w:val="en-GB"/>
        </w:rPr>
      </w:pPr>
      <w:r w:rsidRPr="00F461AC">
        <w:rPr>
          <w:lang w:val="en-GB"/>
        </w:rPr>
        <w:t xml:space="preserve">As NPRACH transmission is not aligned to subframes, </w:t>
      </w:r>
      <w:r w:rsidR="00F461AC">
        <w:rPr>
          <w:lang w:val="en-GB"/>
        </w:rPr>
        <w:t>e.g</w:t>
      </w:r>
      <w:r w:rsidRPr="00F461AC">
        <w:rPr>
          <w:lang w:val="en-GB"/>
        </w:rPr>
        <w:t xml:space="preserve">. symbol groups have a duration of </w:t>
      </w:r>
      <w:r w:rsidR="00F461AC">
        <w:rPr>
          <w:lang w:val="en-GB"/>
        </w:rPr>
        <w:t xml:space="preserve">1.6 ms for NPRACH FDD preamble format 1 and 1.4 ms for NPRACH FDD preamble format 0, the SNR definition needs to be adjusted for the NPRACH. </w:t>
      </w:r>
    </w:p>
    <w:p w:rsidR="00F461AC" w:rsidRDefault="00F461AC" w:rsidP="006F28AC">
      <w:pPr>
        <w:rPr>
          <w:lang w:val="en-GB"/>
        </w:rPr>
      </w:pPr>
      <w:r>
        <w:rPr>
          <w:lang w:val="en-GB"/>
        </w:rPr>
        <w:t xml:space="preserve">It is proposed to change the highlighted part of the extract above to: </w:t>
      </w:r>
    </w:p>
    <w:p w:rsidR="00F461AC" w:rsidRPr="00F461AC" w:rsidRDefault="00F461AC" w:rsidP="00F461AC">
      <w:pPr>
        <w:tabs>
          <w:tab w:val="left" w:pos="709"/>
        </w:tabs>
        <w:ind w:firstLine="284"/>
      </w:pPr>
      <w:r w:rsidRPr="00F461AC">
        <w:t>S</w:t>
      </w:r>
      <w:r w:rsidRPr="00F461AC">
        <w:tab/>
        <w:t>is the total signal energy in the subframe</w:t>
      </w:r>
      <w:r w:rsidRPr="00F461AC">
        <w:rPr>
          <w:color w:val="FF0000"/>
        </w:rPr>
        <w:t xml:space="preserve">, or, in case of NPRACH, in the random access symbol group </w:t>
      </w:r>
      <w:r w:rsidRPr="00F461AC">
        <w:t>on a single antenna port.</w:t>
      </w:r>
    </w:p>
    <w:p w:rsidR="00F461AC" w:rsidRPr="00355D13" w:rsidRDefault="00F461AC" w:rsidP="00F461AC">
      <w:pPr>
        <w:ind w:left="709" w:hanging="425"/>
        <w:rPr>
          <w:lang w:eastAsia="zh-CN"/>
        </w:rPr>
      </w:pPr>
      <w:r w:rsidRPr="00F461AC">
        <w:t>N</w:t>
      </w:r>
      <w:r w:rsidRPr="00F461AC">
        <w:tab/>
        <w:t>is the noise energy in a bandwidth corresponding to the transmission bandwidth over the duration of a subframe</w:t>
      </w:r>
      <w:r w:rsidRPr="00F461AC">
        <w:rPr>
          <w:color w:val="FF0000"/>
        </w:rPr>
        <w:t>, or, in case of NPRACH, of a random access symbol group</w:t>
      </w:r>
      <w:r w:rsidRPr="00F461AC">
        <w:t>.</w:t>
      </w:r>
    </w:p>
    <w:p w:rsidR="00062CF3" w:rsidRDefault="00F461AC" w:rsidP="006F28AC">
      <w:pPr>
        <w:rPr>
          <w:lang w:val="en-GB"/>
        </w:rPr>
      </w:pPr>
      <w:r>
        <w:rPr>
          <w:lang w:val="en-GB"/>
        </w:rPr>
        <w:t xml:space="preserve">Furthermore, the SNR requirement is derived based on </w:t>
      </w:r>
      <w:r w:rsidR="0098494A">
        <w:rPr>
          <w:lang w:val="en-GB"/>
        </w:rPr>
        <w:t xml:space="preserve">noise energy in </w:t>
      </w:r>
      <w:r>
        <w:rPr>
          <w:lang w:val="en-GB"/>
        </w:rPr>
        <w:t>the transmission bandwidth, which according to the definition in subclause 3.1, Definition</w:t>
      </w:r>
      <w:r w:rsidR="0098494A">
        <w:rPr>
          <w:lang w:val="en-GB"/>
        </w:rPr>
        <w:t>s, is:</w:t>
      </w:r>
      <w:r>
        <w:rPr>
          <w:lang w:val="en-GB"/>
        </w:rPr>
        <w:t xml:space="preserve">   </w:t>
      </w:r>
    </w:p>
    <w:p w:rsidR="00F461AC" w:rsidRPr="00F461AC" w:rsidRDefault="00F461AC" w:rsidP="006F28AC">
      <w:pPr>
        <w:rPr>
          <w:b/>
          <w:i/>
        </w:rPr>
      </w:pPr>
      <w:r w:rsidRPr="005D4B8B">
        <w:rPr>
          <w:b/>
          <w:i/>
          <w:u w:val="single"/>
        </w:rPr>
        <w:t xml:space="preserve">Extract of TS 36.104, subclause </w:t>
      </w:r>
      <w:r>
        <w:rPr>
          <w:b/>
          <w:i/>
          <w:u w:val="single"/>
        </w:rPr>
        <w:t>3</w:t>
      </w:r>
      <w:r w:rsidRPr="005D4B8B">
        <w:rPr>
          <w:b/>
          <w:i/>
          <w:u w:val="single"/>
        </w:rPr>
        <w:t>.1:</w:t>
      </w:r>
    </w:p>
    <w:p w:rsidR="00F461AC" w:rsidRPr="00355D13" w:rsidRDefault="00F461AC" w:rsidP="00F461AC">
      <w:r w:rsidRPr="009B01A1">
        <w:rPr>
          <w:b/>
          <w:highlight w:val="yellow"/>
        </w:rPr>
        <w:t>Transmission bandwidth</w:t>
      </w:r>
      <w:r w:rsidRPr="00355D13">
        <w:rPr>
          <w:b/>
        </w:rPr>
        <w:t>:</w:t>
      </w:r>
      <w:r w:rsidRPr="00355D13">
        <w:t xml:space="preserve"> RF Bandwidth of an instantaneous transmission from a UE or BS, measured in resource block units.</w:t>
      </w:r>
    </w:p>
    <w:p w:rsidR="00F461AC" w:rsidRDefault="00F461AC" w:rsidP="00F461AC">
      <w:pPr>
        <w:rPr>
          <w:b/>
          <w:i/>
          <w:u w:val="single"/>
          <w:lang w:val="en-GB"/>
        </w:rPr>
      </w:pPr>
      <w:r w:rsidRPr="005D4B8B">
        <w:rPr>
          <w:b/>
          <w:i/>
          <w:u w:val="single"/>
          <w:lang w:val="en-GB"/>
        </w:rPr>
        <w:t>End of extract</w:t>
      </w:r>
    </w:p>
    <w:p w:rsidR="00F461AC" w:rsidRPr="006F28AC" w:rsidRDefault="0098494A" w:rsidP="006F28AC">
      <w:pPr>
        <w:rPr>
          <w:lang w:val="en-GB"/>
        </w:rPr>
      </w:pPr>
      <w:r>
        <w:rPr>
          <w:lang w:val="en-GB"/>
        </w:rPr>
        <w:t xml:space="preserve">This means, since the instantaneous transmission is used for the definition, any hopping gain of the signal in the 45 kHz hopping range, or the lower subcarrier spacing for NPRACH FDD preamble 2 will not impact on the SNR definition. </w:t>
      </w:r>
    </w:p>
    <w:p w:rsidR="0098494A" w:rsidRDefault="0098494A" w:rsidP="000B0056">
      <w:pPr>
        <w:pStyle w:val="RAN4Observation"/>
        <w:ind w:left="0" w:firstLine="0"/>
      </w:pPr>
      <w:bookmarkStart w:id="4" w:name="_Hlk509832434"/>
      <w:r>
        <w:t xml:space="preserve">The current SNR definition does not cover the NPRACH case and thus should be adjusted. </w:t>
      </w:r>
    </w:p>
    <w:p w:rsidR="002B4922" w:rsidRDefault="0098494A" w:rsidP="0098494A">
      <w:pPr>
        <w:pStyle w:val="RAN4proposal"/>
        <w:ind w:left="0" w:firstLine="0"/>
      </w:pPr>
      <w:r>
        <w:t>Agree the changes to SNR definition in TS 36.104 as depicted in section 3.2</w:t>
      </w:r>
      <w:r w:rsidR="0008612A" w:rsidRPr="0008612A">
        <w:t>.</w:t>
      </w:r>
      <w:bookmarkEnd w:id="4"/>
    </w:p>
    <w:p w:rsidR="00CD7492" w:rsidRPr="0095295C" w:rsidRDefault="00CD7492" w:rsidP="00A37002">
      <w:pPr>
        <w:pStyle w:val="RAN4H1"/>
      </w:pPr>
      <w:r w:rsidRPr="00A37002">
        <w:t>Conclusion</w:t>
      </w:r>
    </w:p>
    <w:p w:rsidR="0098494A" w:rsidRPr="0098494A" w:rsidRDefault="0098494A" w:rsidP="0098494A">
      <w:pPr>
        <w:rPr>
          <w:lang w:val="en-GB"/>
        </w:rPr>
      </w:pPr>
      <w:r>
        <w:rPr>
          <w:lang w:val="en-GB"/>
        </w:rPr>
        <w:t xml:space="preserve">This contribution lists </w:t>
      </w:r>
      <w:r>
        <w:rPr>
          <w:rFonts w:eastAsia="Calibri" w:cs="Times New Roman"/>
          <w:szCs w:val="20"/>
          <w:lang w:val="en-GB"/>
        </w:rPr>
        <w:t>our proposals for performance requirements for NPRACH FDD preamble 2, introduced in 3GPP Rel-15.</w:t>
      </w:r>
      <w:r>
        <w:rPr>
          <w:lang w:val="en-GB"/>
        </w:rPr>
        <w:t xml:space="preserve"> It is proposed to agree the following proposals:</w:t>
      </w:r>
    </w:p>
    <w:p w:rsidR="0098494A" w:rsidRPr="0098494A" w:rsidRDefault="0098494A" w:rsidP="0098494A">
      <w:pPr>
        <w:pStyle w:val="RAN4proposal"/>
        <w:numPr>
          <w:ilvl w:val="0"/>
          <w:numId w:val="21"/>
        </w:numPr>
        <w:ind w:left="1134" w:hanging="1134"/>
      </w:pPr>
      <w:r>
        <w:t>Agree the proposed figures from Nokia in Table 1 for updated preliminary requirements.</w:t>
      </w:r>
    </w:p>
    <w:p w:rsidR="002B4922" w:rsidRDefault="0098494A" w:rsidP="0098494A">
      <w:pPr>
        <w:pStyle w:val="RAN4proposal"/>
        <w:ind w:left="0" w:firstLine="0"/>
      </w:pPr>
      <w:r>
        <w:t>Agree the changes to SNR definition in TS 36.104 as depicted in section 3.2</w:t>
      </w:r>
      <w:r w:rsidRPr="0008612A">
        <w:t>.</w:t>
      </w:r>
    </w:p>
    <w:p w:rsidR="0098494A" w:rsidRDefault="0098494A" w:rsidP="0098494A">
      <w:r>
        <w:t xml:space="preserve">The </w:t>
      </w:r>
      <w:r w:rsidR="00F36AB4">
        <w:t>companion</w:t>
      </w:r>
      <w:r>
        <w:t xml:space="preserve"> CR</w:t>
      </w:r>
      <w:r w:rsidR="00F36AB4">
        <w:t>s</w:t>
      </w:r>
      <w:r>
        <w:t xml:space="preserve"> </w:t>
      </w:r>
      <w:r w:rsidR="00F36AB4">
        <w:t>are</w:t>
      </w:r>
      <w:r>
        <w:t xml:space="preserve"> submitted in [2]</w:t>
      </w:r>
      <w:r w:rsidR="00F36AB4">
        <w:t xml:space="preserve"> and [3]</w:t>
      </w:r>
      <w:r>
        <w:t>.</w:t>
      </w:r>
    </w:p>
    <w:p w:rsidR="0098494A" w:rsidRPr="0098494A" w:rsidRDefault="0098494A" w:rsidP="0098494A"/>
    <w:p w:rsidR="003B659E" w:rsidRPr="0095295C" w:rsidRDefault="003B659E" w:rsidP="0008612A">
      <w:pPr>
        <w:pStyle w:val="RAN4H1"/>
      </w:pPr>
      <w:r w:rsidRPr="0095295C">
        <w:t>References</w:t>
      </w:r>
    </w:p>
    <w:p w:rsidR="00F231E7" w:rsidRPr="00F231E7"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F231E7">
        <w:rPr>
          <w:rFonts w:eastAsia="Times New Roman" w:cs="Times New Roman"/>
          <w:szCs w:val="20"/>
          <w:lang w:val="en-GB"/>
        </w:rPr>
        <w:t>R4-1</w:t>
      </w:r>
      <w:r w:rsidR="00F231E7" w:rsidRPr="00F231E7">
        <w:rPr>
          <w:rFonts w:eastAsia="Times New Roman" w:cs="Times New Roman"/>
          <w:szCs w:val="20"/>
          <w:lang w:val="en-GB"/>
        </w:rPr>
        <w:t xml:space="preserve">902061, CR 36.104-4834 </w:t>
      </w:r>
      <w:fldSimple w:instr=" DOCPROPERTY  CrTitle  \* MERGEFORMAT ">
        <w:r w:rsidR="00F231E7" w:rsidRPr="00F231E7">
          <w:t>Addition of demodulation performance for new NPRACH</w:t>
        </w:r>
      </w:fldSimple>
      <w:r w:rsidR="00F231E7" w:rsidRPr="00F231E7">
        <w:t xml:space="preserve"> formats, </w:t>
      </w:r>
      <w:r w:rsidR="00F231E7" w:rsidRPr="00F231E7">
        <w:rPr>
          <w:rFonts w:eastAsia="Times New Roman" w:cs="Times New Roman"/>
          <w:szCs w:val="20"/>
          <w:lang w:val="en-GB"/>
        </w:rPr>
        <w:t>Huawei, HiSilicon</w:t>
      </w:r>
    </w:p>
    <w:p w:rsidR="003B659E" w:rsidRPr="009236C3" w:rsidRDefault="00F231E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236C3">
        <w:rPr>
          <w:rFonts w:eastAsia="Times New Roman" w:cs="Times New Roman"/>
          <w:szCs w:val="20"/>
          <w:lang w:val="en-GB"/>
        </w:rPr>
        <w:t>R4-190</w:t>
      </w:r>
      <w:r w:rsidR="009236C3" w:rsidRPr="009236C3">
        <w:rPr>
          <w:rFonts w:eastAsia="Times New Roman" w:cs="Times New Roman"/>
          <w:szCs w:val="20"/>
          <w:lang w:val="en-GB"/>
        </w:rPr>
        <w:t>4104</w:t>
      </w:r>
      <w:r w:rsidR="003B659E" w:rsidRPr="009236C3">
        <w:rPr>
          <w:rFonts w:eastAsia="Times New Roman" w:cs="Times New Roman"/>
          <w:szCs w:val="20"/>
          <w:lang w:val="en-GB"/>
        </w:rPr>
        <w:t xml:space="preserve">, </w:t>
      </w:r>
      <w:r w:rsidR="00F36AB4" w:rsidRPr="009236C3">
        <w:rPr>
          <w:rFonts w:eastAsia="Times New Roman" w:cs="Times New Roman"/>
          <w:szCs w:val="20"/>
          <w:lang w:val="en-GB"/>
        </w:rPr>
        <w:t>CR 36.104</w:t>
      </w:r>
      <w:r w:rsidR="009236C3" w:rsidRPr="009236C3">
        <w:rPr>
          <w:rFonts w:eastAsia="Times New Roman" w:cs="Times New Roman"/>
          <w:szCs w:val="20"/>
          <w:lang w:val="en-GB"/>
        </w:rPr>
        <w:t>-4854</w:t>
      </w:r>
      <w:r w:rsidR="00F36AB4" w:rsidRPr="009236C3">
        <w:rPr>
          <w:rFonts w:eastAsia="Times New Roman" w:cs="Times New Roman"/>
          <w:szCs w:val="20"/>
          <w:lang w:val="en-GB"/>
        </w:rPr>
        <w:t xml:space="preserve"> </w:t>
      </w:r>
      <w:r w:rsidR="0098494A" w:rsidRPr="009236C3">
        <w:t>Corrections to demodulation performance for new NPRACH formats</w:t>
      </w:r>
      <w:r w:rsidR="00F36AB4" w:rsidRPr="009236C3">
        <w:t xml:space="preserve"> (Rel-15)</w:t>
      </w:r>
      <w:r w:rsidR="003B659E" w:rsidRPr="009236C3">
        <w:rPr>
          <w:rFonts w:eastAsia="Times New Roman" w:cs="Times New Roman"/>
          <w:szCs w:val="20"/>
          <w:lang w:val="en-GB"/>
        </w:rPr>
        <w:t xml:space="preserve">, </w:t>
      </w:r>
      <w:r w:rsidR="00F36AB4" w:rsidRPr="009236C3">
        <w:rPr>
          <w:rFonts w:eastAsia="Times New Roman" w:cs="Times New Roman"/>
          <w:szCs w:val="20"/>
          <w:lang w:val="en-GB"/>
        </w:rPr>
        <w:t xml:space="preserve">source: </w:t>
      </w:r>
      <w:r w:rsidR="003B659E" w:rsidRPr="009236C3">
        <w:rPr>
          <w:rFonts w:eastAsia="Times New Roman" w:cs="Times New Roman"/>
          <w:szCs w:val="20"/>
          <w:lang w:val="en-GB"/>
        </w:rPr>
        <w:t xml:space="preserve">Nokia, </w:t>
      </w:r>
      <w:r w:rsidR="0098494A" w:rsidRPr="009236C3">
        <w:rPr>
          <w:rFonts w:eastAsia="Times New Roman" w:cs="Times New Roman"/>
          <w:szCs w:val="20"/>
          <w:lang w:val="en-GB"/>
        </w:rPr>
        <w:t xml:space="preserve">Nokia </w:t>
      </w:r>
      <w:r w:rsidR="003B659E" w:rsidRPr="009236C3">
        <w:rPr>
          <w:rFonts w:eastAsia="Times New Roman" w:cs="Times New Roman"/>
          <w:szCs w:val="20"/>
          <w:lang w:val="en-GB"/>
        </w:rPr>
        <w:t>Shanghai Bell</w:t>
      </w:r>
      <w:r w:rsidR="003B659E" w:rsidRPr="009236C3" w:rsidDel="00C651B9">
        <w:rPr>
          <w:rFonts w:eastAsia="Times New Roman" w:cs="Times New Roman"/>
          <w:szCs w:val="20"/>
          <w:lang w:val="en-GB"/>
        </w:rPr>
        <w:t xml:space="preserve"> </w:t>
      </w:r>
      <w:bookmarkEnd w:id="5"/>
    </w:p>
    <w:p w:rsidR="00F36AB4" w:rsidRPr="009236C3" w:rsidRDefault="00F36AB4" w:rsidP="00F36AB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236C3">
        <w:rPr>
          <w:rFonts w:eastAsia="Times New Roman" w:cs="Times New Roman"/>
          <w:szCs w:val="20"/>
          <w:lang w:val="en-GB"/>
        </w:rPr>
        <w:t>R4-190</w:t>
      </w:r>
      <w:r w:rsidR="009236C3" w:rsidRPr="009236C3">
        <w:rPr>
          <w:rFonts w:eastAsia="Times New Roman" w:cs="Times New Roman"/>
          <w:szCs w:val="20"/>
          <w:lang w:val="en-GB"/>
        </w:rPr>
        <w:t>4107</w:t>
      </w:r>
      <w:r w:rsidRPr="009236C3">
        <w:rPr>
          <w:rFonts w:eastAsia="Times New Roman" w:cs="Times New Roman"/>
          <w:szCs w:val="20"/>
          <w:lang w:val="en-GB"/>
        </w:rPr>
        <w:t>, CR 36.141</w:t>
      </w:r>
      <w:r w:rsidR="009236C3" w:rsidRPr="009236C3">
        <w:rPr>
          <w:rFonts w:eastAsia="Times New Roman" w:cs="Times New Roman"/>
          <w:szCs w:val="20"/>
          <w:lang w:val="en-GB"/>
        </w:rPr>
        <w:t>-1212</w:t>
      </w:r>
      <w:r w:rsidRPr="009236C3">
        <w:rPr>
          <w:rFonts w:eastAsia="Times New Roman" w:cs="Times New Roman"/>
          <w:szCs w:val="20"/>
          <w:lang w:val="en-GB"/>
        </w:rPr>
        <w:t xml:space="preserve"> </w:t>
      </w:r>
      <w:r w:rsidRPr="009236C3">
        <w:t>Corrections to demodulation performance for new NPRACH formats</w:t>
      </w:r>
      <w:r w:rsidRPr="009236C3">
        <w:rPr>
          <w:rFonts w:eastAsia="Times New Roman" w:cs="Times New Roman"/>
          <w:szCs w:val="20"/>
          <w:lang w:val="en-GB"/>
        </w:rPr>
        <w:t xml:space="preserve"> (Rel-15), source: Nokia, Nokia Shanghai Bell</w:t>
      </w:r>
      <w:r w:rsidRPr="009236C3" w:rsidDel="00C651B9">
        <w:rPr>
          <w:rFonts w:eastAsia="Times New Roman" w:cs="Times New Roman"/>
          <w:szCs w:val="20"/>
          <w:lang w:val="en-GB"/>
        </w:rPr>
        <w:t xml:space="preserve"> </w:t>
      </w:r>
    </w:p>
    <w:p w:rsidR="003B659E" w:rsidRDefault="003B659E" w:rsidP="00841BCD">
      <w:pPr>
        <w:ind w:right="-22"/>
        <w:rPr>
          <w:lang w:val="en-GB"/>
        </w:rPr>
      </w:pPr>
    </w:p>
    <w:sectPr w:rsidR="003B659E" w:rsidSect="00806A76">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B1D" w:rsidRDefault="001C7B1D" w:rsidP="00001C9B">
      <w:pPr>
        <w:spacing w:after="0" w:line="240" w:lineRule="auto"/>
      </w:pPr>
      <w:r>
        <w:separator/>
      </w:r>
    </w:p>
  </w:endnote>
  <w:endnote w:type="continuationSeparator" w:id="0">
    <w:p w:rsidR="001C7B1D" w:rsidRDefault="001C7B1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B1D" w:rsidRDefault="001C7B1D" w:rsidP="00001C9B">
      <w:pPr>
        <w:spacing w:after="0" w:line="240" w:lineRule="auto"/>
      </w:pPr>
      <w:r>
        <w:separator/>
      </w:r>
    </w:p>
  </w:footnote>
  <w:footnote w:type="continuationSeparator" w:id="0">
    <w:p w:rsidR="001C7B1D" w:rsidRDefault="001C7B1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 w15:restartNumberingAfterBreak="0">
    <w:nsid w:val="4D6E3167"/>
    <w:multiLevelType w:val="hybridMultilevel"/>
    <w:tmpl w:val="5D4C8818"/>
    <w:lvl w:ilvl="0" w:tplc="F5BCE58A">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62CF3"/>
    <w:rsid w:val="0008612A"/>
    <w:rsid w:val="000B0056"/>
    <w:rsid w:val="0012020C"/>
    <w:rsid w:val="00161971"/>
    <w:rsid w:val="001745F8"/>
    <w:rsid w:val="00176671"/>
    <w:rsid w:val="001838CF"/>
    <w:rsid w:val="001C2F6D"/>
    <w:rsid w:val="001C7B1D"/>
    <w:rsid w:val="001E30F6"/>
    <w:rsid w:val="00235F5C"/>
    <w:rsid w:val="002B4922"/>
    <w:rsid w:val="002C2D19"/>
    <w:rsid w:val="002D10FA"/>
    <w:rsid w:val="002D4C55"/>
    <w:rsid w:val="00351CB5"/>
    <w:rsid w:val="003B659E"/>
    <w:rsid w:val="00407D90"/>
    <w:rsid w:val="00417AA0"/>
    <w:rsid w:val="0043750A"/>
    <w:rsid w:val="00480EBB"/>
    <w:rsid w:val="004B7B4A"/>
    <w:rsid w:val="004E006D"/>
    <w:rsid w:val="004E5E66"/>
    <w:rsid w:val="00503B4D"/>
    <w:rsid w:val="00504EE9"/>
    <w:rsid w:val="0054442C"/>
    <w:rsid w:val="00550285"/>
    <w:rsid w:val="005836F8"/>
    <w:rsid w:val="005918FA"/>
    <w:rsid w:val="005D4B8B"/>
    <w:rsid w:val="005D4F5B"/>
    <w:rsid w:val="005E61A8"/>
    <w:rsid w:val="005F6419"/>
    <w:rsid w:val="00617400"/>
    <w:rsid w:val="00664950"/>
    <w:rsid w:val="00683220"/>
    <w:rsid w:val="00687FA0"/>
    <w:rsid w:val="006B7010"/>
    <w:rsid w:val="006F28AC"/>
    <w:rsid w:val="007145FF"/>
    <w:rsid w:val="00751515"/>
    <w:rsid w:val="00785232"/>
    <w:rsid w:val="007C3ED0"/>
    <w:rsid w:val="00806A76"/>
    <w:rsid w:val="00811C9D"/>
    <w:rsid w:val="00816C80"/>
    <w:rsid w:val="00841BCD"/>
    <w:rsid w:val="008826C1"/>
    <w:rsid w:val="009042BD"/>
    <w:rsid w:val="009236C3"/>
    <w:rsid w:val="00967205"/>
    <w:rsid w:val="00976ABD"/>
    <w:rsid w:val="00977E1D"/>
    <w:rsid w:val="0098494A"/>
    <w:rsid w:val="00995CDA"/>
    <w:rsid w:val="009A378D"/>
    <w:rsid w:val="00A22B78"/>
    <w:rsid w:val="00A25AE5"/>
    <w:rsid w:val="00A37002"/>
    <w:rsid w:val="00AA1B0E"/>
    <w:rsid w:val="00AC5CA7"/>
    <w:rsid w:val="00AE56B1"/>
    <w:rsid w:val="00AF1751"/>
    <w:rsid w:val="00B03C53"/>
    <w:rsid w:val="00B1628E"/>
    <w:rsid w:val="00B73862"/>
    <w:rsid w:val="00BA6E48"/>
    <w:rsid w:val="00BA724E"/>
    <w:rsid w:val="00BF2218"/>
    <w:rsid w:val="00CD7492"/>
    <w:rsid w:val="00CE3A6B"/>
    <w:rsid w:val="00D00211"/>
    <w:rsid w:val="00D06309"/>
    <w:rsid w:val="00D351EA"/>
    <w:rsid w:val="00D358A6"/>
    <w:rsid w:val="00D43403"/>
    <w:rsid w:val="00D62E71"/>
    <w:rsid w:val="00D740CA"/>
    <w:rsid w:val="00D85728"/>
    <w:rsid w:val="00DD555A"/>
    <w:rsid w:val="00DF2997"/>
    <w:rsid w:val="00E43CBC"/>
    <w:rsid w:val="00EC7BC3"/>
    <w:rsid w:val="00ED7600"/>
    <w:rsid w:val="00EF2A70"/>
    <w:rsid w:val="00F1362C"/>
    <w:rsid w:val="00F231E7"/>
    <w:rsid w:val="00F36AB4"/>
    <w:rsid w:val="00F461A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537E0"/>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CBE10-7850-4338-8ED7-C31FF03F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Hofmann, Juergen (Nokia - DE/Munich)</cp:lastModifiedBy>
  <cp:revision>3</cp:revision>
  <dcterms:created xsi:type="dcterms:W3CDTF">2019-04-01T14:57:00Z</dcterms:created>
  <dcterms:modified xsi:type="dcterms:W3CDTF">2019-04-01T16:14:00Z</dcterms:modified>
</cp:coreProperties>
</file>